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603B0" w14:textId="77777777" w:rsidR="00072050" w:rsidRDefault="00072050" w:rsidP="001F05B2">
      <w:pPr>
        <w:spacing w:after="300" w:line="240" w:lineRule="atLeast"/>
        <w:textAlignment w:val="baseline"/>
        <w:outlineLvl w:val="0"/>
        <w:rPr>
          <w:rFonts w:ascii="Helvetica" w:eastAsia="Times New Roman" w:hAnsi="Helvetica" w:cs="Helvetica"/>
          <w:color w:val="444444"/>
          <w:kern w:val="36"/>
          <w:sz w:val="48"/>
          <w:szCs w:val="48"/>
          <w:lang w:eastAsia="fr-FR"/>
        </w:rPr>
      </w:pPr>
    </w:p>
    <w:p w14:paraId="1DD06FAE" w14:textId="20334049" w:rsidR="001F05B2" w:rsidRPr="001F05B2" w:rsidRDefault="001F05B2" w:rsidP="001F05B2">
      <w:pPr>
        <w:spacing w:after="300" w:line="240" w:lineRule="atLeast"/>
        <w:textAlignment w:val="baseline"/>
        <w:outlineLvl w:val="0"/>
        <w:rPr>
          <w:rFonts w:ascii="Helvetica" w:eastAsia="Times New Roman" w:hAnsi="Helvetica" w:cs="Helvetica"/>
          <w:color w:val="444444"/>
          <w:kern w:val="36"/>
          <w:sz w:val="48"/>
          <w:szCs w:val="48"/>
          <w:lang w:eastAsia="fr-FR"/>
        </w:rPr>
      </w:pPr>
      <w:r w:rsidRPr="001F05B2">
        <w:rPr>
          <w:rFonts w:ascii="Helvetica" w:eastAsia="Times New Roman" w:hAnsi="Helvetica" w:cs="Helvetica"/>
          <w:color w:val="444444"/>
          <w:kern w:val="36"/>
          <w:sz w:val="48"/>
          <w:szCs w:val="48"/>
          <w:lang w:eastAsia="fr-FR"/>
        </w:rPr>
        <w:t xml:space="preserve">L’histoire de l’éducation thérapeutique du patient par le Professeur </w:t>
      </w:r>
      <w:proofErr w:type="spellStart"/>
      <w:proofErr w:type="gramStart"/>
      <w:r w:rsidRPr="001F05B2">
        <w:rPr>
          <w:rFonts w:ascii="Helvetica" w:eastAsia="Times New Roman" w:hAnsi="Helvetica" w:cs="Helvetica"/>
          <w:color w:val="444444"/>
          <w:kern w:val="36"/>
          <w:sz w:val="48"/>
          <w:szCs w:val="48"/>
          <w:lang w:eastAsia="fr-FR"/>
        </w:rPr>
        <w:t>A.Grimaldi</w:t>
      </w:r>
      <w:proofErr w:type="spellEnd"/>
      <w:proofErr w:type="gramEnd"/>
    </w:p>
    <w:p w14:paraId="6059217A" w14:textId="77777777" w:rsidR="001F05B2" w:rsidRPr="001F05B2" w:rsidRDefault="001F05B2" w:rsidP="001F05B2">
      <w:pPr>
        <w:spacing w:after="0" w:line="240" w:lineRule="auto"/>
        <w:rPr>
          <w:rFonts w:ascii="Times New Roman" w:eastAsia="Times New Roman" w:hAnsi="Times New Roman" w:cs="Times New Roman"/>
          <w:sz w:val="24"/>
          <w:szCs w:val="24"/>
          <w:lang w:eastAsia="fr-FR"/>
        </w:rPr>
      </w:pPr>
      <w:r w:rsidRPr="001F05B2">
        <w:rPr>
          <w:rFonts w:ascii="Times New Roman" w:eastAsia="Times New Roman" w:hAnsi="Times New Roman" w:cs="Times New Roman"/>
          <w:color w:val="B0B0B0"/>
          <w:sz w:val="18"/>
          <w:szCs w:val="18"/>
          <w:bdr w:val="none" w:sz="0" w:space="0" w:color="auto" w:frame="1"/>
          <w:lang w:eastAsia="fr-FR"/>
        </w:rPr>
        <w:t>Posté par </w:t>
      </w:r>
      <w:hyperlink r:id="rId7" w:tooltip="Articles par Anne Claire Nonnotte" w:history="1">
        <w:r w:rsidRPr="001F05B2">
          <w:rPr>
            <w:rFonts w:ascii="Times New Roman" w:eastAsia="Times New Roman" w:hAnsi="Times New Roman" w:cs="Times New Roman"/>
            <w:b/>
            <w:bCs/>
            <w:color w:val="888888"/>
            <w:sz w:val="18"/>
            <w:szCs w:val="18"/>
            <w:bdr w:val="none" w:sz="0" w:space="0" w:color="auto" w:frame="1"/>
            <w:lang w:eastAsia="fr-FR"/>
          </w:rPr>
          <w:t xml:space="preserve">Anne Claire </w:t>
        </w:r>
        <w:proofErr w:type="spellStart"/>
        <w:r w:rsidRPr="001F05B2">
          <w:rPr>
            <w:rFonts w:ascii="Times New Roman" w:eastAsia="Times New Roman" w:hAnsi="Times New Roman" w:cs="Times New Roman"/>
            <w:b/>
            <w:bCs/>
            <w:color w:val="888888"/>
            <w:sz w:val="18"/>
            <w:szCs w:val="18"/>
            <w:bdr w:val="none" w:sz="0" w:space="0" w:color="auto" w:frame="1"/>
            <w:lang w:eastAsia="fr-FR"/>
          </w:rPr>
          <w:t>Nonnotte</w:t>
        </w:r>
        <w:proofErr w:type="spellEnd"/>
      </w:hyperlink>
      <w:r w:rsidRPr="001F05B2">
        <w:rPr>
          <w:rFonts w:ascii="Times New Roman" w:eastAsia="Times New Roman" w:hAnsi="Times New Roman" w:cs="Times New Roman"/>
          <w:color w:val="B0B0B0"/>
          <w:sz w:val="18"/>
          <w:szCs w:val="18"/>
          <w:bdr w:val="none" w:sz="0" w:space="0" w:color="auto" w:frame="1"/>
          <w:lang w:eastAsia="fr-FR"/>
        </w:rPr>
        <w:t> le </w:t>
      </w:r>
      <w:r w:rsidRPr="001F05B2">
        <w:rPr>
          <w:rFonts w:ascii="Times New Roman" w:eastAsia="Times New Roman" w:hAnsi="Times New Roman" w:cs="Times New Roman"/>
          <w:b/>
          <w:bCs/>
          <w:color w:val="888888"/>
          <w:sz w:val="18"/>
          <w:szCs w:val="18"/>
          <w:bdr w:val="none" w:sz="0" w:space="0" w:color="auto" w:frame="1"/>
          <w:lang w:eastAsia="fr-FR"/>
        </w:rPr>
        <w:t>Juil 03, 2017</w:t>
      </w:r>
      <w:r w:rsidRPr="001F05B2">
        <w:rPr>
          <w:rFonts w:ascii="Times New Roman" w:eastAsia="Times New Roman" w:hAnsi="Times New Roman" w:cs="Times New Roman"/>
          <w:color w:val="B0B0B0"/>
          <w:sz w:val="18"/>
          <w:szCs w:val="18"/>
          <w:bdr w:val="none" w:sz="0" w:space="0" w:color="auto" w:frame="1"/>
          <w:lang w:eastAsia="fr-FR"/>
        </w:rPr>
        <w:t> Posté dans </w:t>
      </w:r>
      <w:hyperlink r:id="rId8" w:history="1">
        <w:r w:rsidRPr="001F05B2">
          <w:rPr>
            <w:rFonts w:ascii="Times New Roman" w:eastAsia="Times New Roman" w:hAnsi="Times New Roman" w:cs="Times New Roman"/>
            <w:b/>
            <w:bCs/>
            <w:color w:val="888888"/>
            <w:sz w:val="18"/>
            <w:szCs w:val="18"/>
            <w:bdr w:val="none" w:sz="0" w:space="0" w:color="auto" w:frame="1"/>
            <w:lang w:eastAsia="fr-FR"/>
          </w:rPr>
          <w:t>Médecine</w:t>
        </w:r>
      </w:hyperlink>
    </w:p>
    <w:p w14:paraId="56663929" w14:textId="77777777" w:rsidR="001F05B2" w:rsidRPr="001F05B2" w:rsidRDefault="001F05B2" w:rsidP="00072050">
      <w:pPr>
        <w:spacing w:after="300" w:line="240" w:lineRule="atLeast"/>
        <w:jc w:val="both"/>
        <w:textAlignment w:val="baseline"/>
        <w:outlineLvl w:val="1"/>
        <w:rPr>
          <w:rFonts w:ascii="Helvetica" w:eastAsia="Times New Roman" w:hAnsi="Helvetica" w:cs="Helvetica"/>
          <w:color w:val="444444"/>
          <w:sz w:val="36"/>
          <w:szCs w:val="36"/>
          <w:lang w:eastAsia="fr-FR"/>
        </w:rPr>
      </w:pPr>
      <w:r w:rsidRPr="001F05B2">
        <w:rPr>
          <w:rFonts w:ascii="Helvetica" w:eastAsia="Times New Roman" w:hAnsi="Helvetica" w:cs="Helvetica"/>
          <w:color w:val="444444"/>
          <w:sz w:val="36"/>
          <w:szCs w:val="36"/>
          <w:lang w:eastAsia="fr-FR"/>
        </w:rPr>
        <w:t>Résumé</w:t>
      </w:r>
    </w:p>
    <w:p w14:paraId="2AABACB1" w14:textId="77777777" w:rsidR="001F05B2" w:rsidRPr="001F05B2"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L’histoire de l’éducation thérapeutique du patient (ETP) a été fortement influencée par l’évolution des théories et des concepts en médecine, en psychologie, et en pédagogie. L’ETP a toujours existé sous forme de conseils, mais elle est réellement née en 1922 avec les premiers traitements par l’insuline de patients diabétiques de type 1. Elle a connu trois périodes. La première période s’étend sur un demi-siècle, la pédagogie était verticale, autoritaire, passive. La deuxième période débute dans les années 1970 ; elle est marquée par le développement créatif d’une pédagogie humaniste, active, constructiviste. La dernière période, depuis la fin du 20</w:t>
      </w:r>
      <w:r w:rsidRPr="001F05B2">
        <w:rPr>
          <w:rFonts w:ascii="Times New Roman" w:eastAsia="Times New Roman" w:hAnsi="Times New Roman" w:cs="Times New Roman"/>
          <w:color w:val="000000"/>
          <w:sz w:val="24"/>
          <w:szCs w:val="24"/>
          <w:vertAlign w:val="superscript"/>
          <w:lang w:eastAsia="fr-FR"/>
        </w:rPr>
        <w:t>e</w:t>
      </w:r>
      <w:r w:rsidRPr="001F05B2">
        <w:rPr>
          <w:rFonts w:ascii="Times New Roman" w:eastAsia="Times New Roman" w:hAnsi="Times New Roman" w:cs="Times New Roman"/>
          <w:color w:val="000000"/>
          <w:sz w:val="24"/>
          <w:szCs w:val="24"/>
          <w:lang w:eastAsia="fr-FR"/>
        </w:rPr>
        <w:t>siècle et ce début de 21</w:t>
      </w:r>
      <w:r w:rsidRPr="001F05B2">
        <w:rPr>
          <w:rFonts w:ascii="Times New Roman" w:eastAsia="Times New Roman" w:hAnsi="Times New Roman" w:cs="Times New Roman"/>
          <w:color w:val="000000"/>
          <w:sz w:val="24"/>
          <w:szCs w:val="24"/>
          <w:vertAlign w:val="superscript"/>
          <w:lang w:eastAsia="fr-FR"/>
        </w:rPr>
        <w:t>e</w:t>
      </w:r>
      <w:r w:rsidRPr="001F05B2">
        <w:rPr>
          <w:rFonts w:ascii="Times New Roman" w:eastAsia="Times New Roman" w:hAnsi="Times New Roman" w:cs="Times New Roman"/>
          <w:color w:val="000000"/>
          <w:sz w:val="24"/>
          <w:szCs w:val="24"/>
          <w:lang w:eastAsia="fr-FR"/>
        </w:rPr>
        <w:t> siècle, est dominée par l’approche par compétences et par le management par objectifs. Cette approche opératoire sous-estime l’importance du vécu émotionnel des patients. L’ETP deviendra-t-elle une simple prestation supplémentaire, ou définira-t-elle une autre médecine ?</w:t>
      </w:r>
    </w:p>
    <w:p w14:paraId="170CD121" w14:textId="77777777" w:rsidR="001F05B2" w:rsidRPr="001F05B2"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i/>
          <w:iCs/>
          <w:color w:val="000000"/>
          <w:sz w:val="24"/>
          <w:szCs w:val="24"/>
          <w:lang w:eastAsia="fr-FR"/>
        </w:rPr>
        <w:t xml:space="preserve">Mots-clés : Éducation – </w:t>
      </w:r>
      <w:proofErr w:type="spellStart"/>
      <w:r w:rsidRPr="001F05B2">
        <w:rPr>
          <w:rFonts w:ascii="Times New Roman" w:eastAsia="Times New Roman" w:hAnsi="Times New Roman" w:cs="Times New Roman"/>
          <w:i/>
          <w:iCs/>
          <w:color w:val="000000"/>
          <w:sz w:val="24"/>
          <w:szCs w:val="24"/>
          <w:lang w:eastAsia="fr-FR"/>
        </w:rPr>
        <w:t>evidence-based</w:t>
      </w:r>
      <w:proofErr w:type="spellEnd"/>
      <w:r w:rsidRPr="001F05B2">
        <w:rPr>
          <w:rFonts w:ascii="Times New Roman" w:eastAsia="Times New Roman" w:hAnsi="Times New Roman" w:cs="Times New Roman"/>
          <w:i/>
          <w:iCs/>
          <w:color w:val="000000"/>
          <w:sz w:val="24"/>
          <w:szCs w:val="24"/>
          <w:lang w:eastAsia="fr-FR"/>
        </w:rPr>
        <w:t xml:space="preserve"> </w:t>
      </w:r>
      <w:proofErr w:type="spellStart"/>
      <w:r w:rsidRPr="001F05B2">
        <w:rPr>
          <w:rFonts w:ascii="Times New Roman" w:eastAsia="Times New Roman" w:hAnsi="Times New Roman" w:cs="Times New Roman"/>
          <w:i/>
          <w:iCs/>
          <w:color w:val="000000"/>
          <w:sz w:val="24"/>
          <w:szCs w:val="24"/>
          <w:lang w:eastAsia="fr-FR"/>
        </w:rPr>
        <w:t>medicine</w:t>
      </w:r>
      <w:proofErr w:type="spellEnd"/>
      <w:r w:rsidRPr="001F05B2">
        <w:rPr>
          <w:rFonts w:ascii="Times New Roman" w:eastAsia="Times New Roman" w:hAnsi="Times New Roman" w:cs="Times New Roman"/>
          <w:i/>
          <w:iCs/>
          <w:color w:val="000000"/>
          <w:sz w:val="24"/>
          <w:szCs w:val="24"/>
          <w:lang w:eastAsia="fr-FR"/>
        </w:rPr>
        <w:t xml:space="preserve"> – psychologie – pédagogie –compétence – vécu émotionnel.</w:t>
      </w:r>
    </w:p>
    <w:p w14:paraId="61BF95C2" w14:textId="77777777" w:rsidR="001F05B2" w:rsidRPr="001F05B2" w:rsidRDefault="001F05B2" w:rsidP="00072050">
      <w:pPr>
        <w:spacing w:after="300" w:line="240" w:lineRule="atLeast"/>
        <w:jc w:val="both"/>
        <w:textAlignment w:val="baseline"/>
        <w:outlineLvl w:val="1"/>
        <w:rPr>
          <w:rFonts w:ascii="Helvetica" w:eastAsia="Times New Roman" w:hAnsi="Helvetica" w:cs="Helvetica"/>
          <w:color w:val="444444"/>
          <w:sz w:val="36"/>
          <w:szCs w:val="36"/>
          <w:lang w:eastAsia="fr-FR"/>
        </w:rPr>
      </w:pPr>
      <w:r w:rsidRPr="001F05B2">
        <w:rPr>
          <w:rFonts w:ascii="Helvetica" w:eastAsia="Times New Roman" w:hAnsi="Helvetica" w:cs="Helvetica"/>
          <w:color w:val="444444"/>
          <w:sz w:val="36"/>
          <w:szCs w:val="36"/>
          <w:lang w:eastAsia="fr-FR"/>
        </w:rPr>
        <w:t>Introduction</w:t>
      </w:r>
    </w:p>
    <w:p w14:paraId="0DE12B37" w14:textId="77777777" w:rsidR="001F05B2" w:rsidRPr="001F05B2"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L’histoire de l’éducation thérapeutique du patient (ETP) peut être envisagée de deux façons :</w:t>
      </w:r>
      <w:r w:rsidRPr="001F05B2">
        <w:rPr>
          <w:rFonts w:ascii="Times New Roman" w:eastAsia="Times New Roman" w:hAnsi="Times New Roman" w:cs="Times New Roman"/>
          <w:color w:val="000000"/>
          <w:sz w:val="24"/>
          <w:szCs w:val="24"/>
          <w:lang w:eastAsia="fr-FR"/>
        </w:rPr>
        <w:br/>
        <w:t>– soit par une approche épistémologique analysant l’évolution des concepts et des paradigmes propres aux différentes disciplines auxquelles elle se réfère ;</w:t>
      </w:r>
      <w:r w:rsidRPr="001F05B2">
        <w:rPr>
          <w:rFonts w:ascii="Times New Roman" w:eastAsia="Times New Roman" w:hAnsi="Times New Roman" w:cs="Times New Roman"/>
          <w:color w:val="000000"/>
          <w:sz w:val="24"/>
          <w:szCs w:val="24"/>
          <w:lang w:eastAsia="fr-FR"/>
        </w:rPr>
        <w:br/>
        <w:t>– soit par une approche socio-politique partant de l’évolution des sociétés modernes.</w:t>
      </w:r>
    </w:p>
    <w:p w14:paraId="12439A80" w14:textId="77777777" w:rsidR="001F05B2" w:rsidRPr="001F05B2" w:rsidRDefault="001F05B2" w:rsidP="00072050">
      <w:pPr>
        <w:spacing w:after="300" w:line="240" w:lineRule="atLeast"/>
        <w:jc w:val="both"/>
        <w:textAlignment w:val="baseline"/>
        <w:outlineLvl w:val="1"/>
        <w:rPr>
          <w:rFonts w:ascii="Helvetica" w:eastAsia="Times New Roman" w:hAnsi="Helvetica" w:cs="Helvetica"/>
          <w:color w:val="444444"/>
          <w:sz w:val="36"/>
          <w:szCs w:val="36"/>
          <w:lang w:eastAsia="fr-FR"/>
        </w:rPr>
      </w:pPr>
      <w:r w:rsidRPr="001F05B2">
        <w:rPr>
          <w:rFonts w:ascii="Helvetica" w:eastAsia="Times New Roman" w:hAnsi="Helvetica" w:cs="Helvetica"/>
          <w:color w:val="444444"/>
          <w:sz w:val="36"/>
          <w:szCs w:val="36"/>
          <w:lang w:eastAsia="fr-FR"/>
        </w:rPr>
        <w:t>L’ETP au carrefour de la médecine et des sciences humaines et sociales</w:t>
      </w:r>
    </w:p>
    <w:p w14:paraId="468AD8D9" w14:textId="77777777" w:rsidR="001F05B2" w:rsidRPr="001F05B2"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L’éducation thérapeutique du patient (ETP) est fortement influencée par différentes théories dans les champs de la médecine, de la psychologie, de la philosophie, et de la pédagogie.</w:t>
      </w:r>
    </w:p>
    <w:p w14:paraId="57ADC716" w14:textId="77777777" w:rsidR="001F05B2" w:rsidRDefault="001F05B2" w:rsidP="00072050">
      <w:pPr>
        <w:spacing w:after="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b/>
          <w:bCs/>
          <w:color w:val="000000"/>
          <w:sz w:val="24"/>
          <w:szCs w:val="24"/>
          <w:bdr w:val="none" w:sz="0" w:space="0" w:color="auto" w:frame="1"/>
          <w:lang w:eastAsia="fr-FR"/>
        </w:rPr>
        <w:t>Dans le champ de la médecine, la grande révolution conceptuelle et pratique a été celle de l</w:t>
      </w:r>
      <w:proofErr w:type="gramStart"/>
      <w:r w:rsidRPr="001F05B2">
        <w:rPr>
          <w:rFonts w:ascii="Times New Roman" w:eastAsia="Times New Roman" w:hAnsi="Times New Roman" w:cs="Times New Roman"/>
          <w:b/>
          <w:bCs/>
          <w:color w:val="000000"/>
          <w:sz w:val="24"/>
          <w:szCs w:val="24"/>
          <w:bdr w:val="none" w:sz="0" w:space="0" w:color="auto" w:frame="1"/>
          <w:lang w:eastAsia="fr-FR"/>
        </w:rPr>
        <w:t>’«</w:t>
      </w:r>
      <w:proofErr w:type="gramEnd"/>
      <w:r w:rsidRPr="001F05B2">
        <w:rPr>
          <w:rFonts w:ascii="Times New Roman" w:eastAsia="Times New Roman" w:hAnsi="Times New Roman" w:cs="Times New Roman"/>
          <w:b/>
          <w:bCs/>
          <w:color w:val="000000"/>
          <w:sz w:val="24"/>
          <w:szCs w:val="24"/>
          <w:bdr w:val="none" w:sz="0" w:space="0" w:color="auto" w:frame="1"/>
          <w:lang w:eastAsia="fr-FR"/>
        </w:rPr>
        <w:t> </w:t>
      </w:r>
      <w:proofErr w:type="spellStart"/>
      <w:r w:rsidRPr="001F05B2">
        <w:rPr>
          <w:rFonts w:ascii="Times New Roman" w:eastAsia="Times New Roman" w:hAnsi="Times New Roman" w:cs="Times New Roman"/>
          <w:b/>
          <w:bCs/>
          <w:i/>
          <w:iCs/>
          <w:color w:val="000000"/>
          <w:sz w:val="24"/>
          <w:szCs w:val="24"/>
          <w:bdr w:val="none" w:sz="0" w:space="0" w:color="auto" w:frame="1"/>
          <w:lang w:eastAsia="fr-FR"/>
        </w:rPr>
        <w:t>evidence-based</w:t>
      </w:r>
      <w:proofErr w:type="spellEnd"/>
      <w:r w:rsidRPr="001F05B2">
        <w:rPr>
          <w:rFonts w:ascii="Times New Roman" w:eastAsia="Times New Roman" w:hAnsi="Times New Roman" w:cs="Times New Roman"/>
          <w:b/>
          <w:bCs/>
          <w:i/>
          <w:iCs/>
          <w:color w:val="000000"/>
          <w:sz w:val="24"/>
          <w:szCs w:val="24"/>
          <w:bdr w:val="none" w:sz="0" w:space="0" w:color="auto" w:frame="1"/>
          <w:lang w:eastAsia="fr-FR"/>
        </w:rPr>
        <w:t xml:space="preserve"> </w:t>
      </w:r>
      <w:proofErr w:type="spellStart"/>
      <w:r w:rsidRPr="001F05B2">
        <w:rPr>
          <w:rFonts w:ascii="Times New Roman" w:eastAsia="Times New Roman" w:hAnsi="Times New Roman" w:cs="Times New Roman"/>
          <w:b/>
          <w:bCs/>
          <w:i/>
          <w:iCs/>
          <w:color w:val="000000"/>
          <w:sz w:val="24"/>
          <w:szCs w:val="24"/>
          <w:bdr w:val="none" w:sz="0" w:space="0" w:color="auto" w:frame="1"/>
          <w:lang w:eastAsia="fr-FR"/>
        </w:rPr>
        <w:t>medicine</w:t>
      </w:r>
      <w:proofErr w:type="spellEnd"/>
      <w:r w:rsidRPr="001F05B2">
        <w:rPr>
          <w:rFonts w:ascii="Times New Roman" w:eastAsia="Times New Roman" w:hAnsi="Times New Roman" w:cs="Times New Roman"/>
          <w:b/>
          <w:bCs/>
          <w:color w:val="000000"/>
          <w:sz w:val="24"/>
          <w:szCs w:val="24"/>
          <w:bdr w:val="none" w:sz="0" w:space="0" w:color="auto" w:frame="1"/>
          <w:lang w:eastAsia="fr-FR"/>
        </w:rPr>
        <w:t> »</w:t>
      </w:r>
      <w:r w:rsidRPr="001F05B2">
        <w:rPr>
          <w:rFonts w:ascii="Times New Roman" w:eastAsia="Times New Roman" w:hAnsi="Times New Roman" w:cs="Times New Roman"/>
          <w:color w:val="000000"/>
          <w:sz w:val="24"/>
          <w:szCs w:val="24"/>
          <w:lang w:eastAsia="fr-FR"/>
        </w:rPr>
        <w:br/>
        <w:t>La médecine basée sur les preuves ( </w:t>
      </w:r>
      <w:proofErr w:type="spellStart"/>
      <w:r w:rsidRPr="001F05B2">
        <w:rPr>
          <w:rFonts w:ascii="Times New Roman" w:eastAsia="Times New Roman" w:hAnsi="Times New Roman" w:cs="Times New Roman"/>
          <w:i/>
          <w:iCs/>
          <w:color w:val="000000"/>
          <w:sz w:val="24"/>
          <w:szCs w:val="24"/>
          <w:lang w:eastAsia="fr-FR"/>
        </w:rPr>
        <w:t>evidence-based</w:t>
      </w:r>
      <w:proofErr w:type="spellEnd"/>
      <w:r w:rsidRPr="001F05B2">
        <w:rPr>
          <w:rFonts w:ascii="Times New Roman" w:eastAsia="Times New Roman" w:hAnsi="Times New Roman" w:cs="Times New Roman"/>
          <w:i/>
          <w:iCs/>
          <w:color w:val="000000"/>
          <w:sz w:val="24"/>
          <w:szCs w:val="24"/>
          <w:lang w:eastAsia="fr-FR"/>
        </w:rPr>
        <w:t xml:space="preserve"> </w:t>
      </w:r>
      <w:proofErr w:type="spellStart"/>
      <w:r w:rsidRPr="001F05B2">
        <w:rPr>
          <w:rFonts w:ascii="Times New Roman" w:eastAsia="Times New Roman" w:hAnsi="Times New Roman" w:cs="Times New Roman"/>
          <w:i/>
          <w:iCs/>
          <w:color w:val="000000"/>
          <w:sz w:val="24"/>
          <w:szCs w:val="24"/>
          <w:lang w:eastAsia="fr-FR"/>
        </w:rPr>
        <w:t>medicine</w:t>
      </w:r>
      <w:proofErr w:type="spellEnd"/>
      <w:r w:rsidRPr="001F05B2">
        <w:rPr>
          <w:rFonts w:ascii="Times New Roman" w:eastAsia="Times New Roman" w:hAnsi="Times New Roman" w:cs="Times New Roman"/>
          <w:color w:val="000000"/>
          <w:sz w:val="24"/>
          <w:szCs w:val="24"/>
          <w:lang w:eastAsia="fr-FR"/>
        </w:rPr>
        <w:t xml:space="preserve">, EBM) a été conceptualisée et développée dans les années 1980, par David </w:t>
      </w:r>
      <w:proofErr w:type="spellStart"/>
      <w:r w:rsidRPr="001F05B2">
        <w:rPr>
          <w:rFonts w:ascii="Times New Roman" w:eastAsia="Times New Roman" w:hAnsi="Times New Roman" w:cs="Times New Roman"/>
          <w:color w:val="000000"/>
          <w:sz w:val="24"/>
          <w:szCs w:val="24"/>
          <w:lang w:eastAsia="fr-FR"/>
        </w:rPr>
        <w:t>Sackett</w:t>
      </w:r>
      <w:proofErr w:type="spellEnd"/>
      <w:r w:rsidRPr="001F05B2">
        <w:rPr>
          <w:rFonts w:ascii="Times New Roman" w:eastAsia="Times New Roman" w:hAnsi="Times New Roman" w:cs="Times New Roman"/>
          <w:color w:val="000000"/>
          <w:sz w:val="24"/>
          <w:szCs w:val="24"/>
          <w:lang w:eastAsia="fr-FR"/>
        </w:rPr>
        <w:t xml:space="preserve"> et ses collaborateurs [ 1 , 2 ], dans le département d’épidémiologie et de </w:t>
      </w:r>
      <w:proofErr w:type="spellStart"/>
      <w:r w:rsidRPr="001F05B2">
        <w:rPr>
          <w:rFonts w:ascii="Times New Roman" w:eastAsia="Times New Roman" w:hAnsi="Times New Roman" w:cs="Times New Roman"/>
          <w:color w:val="000000"/>
          <w:sz w:val="24"/>
          <w:szCs w:val="24"/>
          <w:lang w:eastAsia="fr-FR"/>
        </w:rPr>
        <w:t>bio-statistiques</w:t>
      </w:r>
      <w:proofErr w:type="spellEnd"/>
      <w:r w:rsidRPr="001F05B2">
        <w:rPr>
          <w:rFonts w:ascii="Times New Roman" w:eastAsia="Times New Roman" w:hAnsi="Times New Roman" w:cs="Times New Roman"/>
          <w:color w:val="000000"/>
          <w:sz w:val="24"/>
          <w:szCs w:val="24"/>
          <w:lang w:eastAsia="fr-FR"/>
        </w:rPr>
        <w:t xml:space="preserve"> de l’université McMaster à Hamilton (Ontario, Canada). Selon ses pères, l’EBM était une démarche visant à fonder les décisions médicales personnalisées pour chaque patient, sur le trépied suivant :</w:t>
      </w:r>
    </w:p>
    <w:p w14:paraId="7A1E4CCB" w14:textId="77777777" w:rsidR="00072050" w:rsidRDefault="00072050" w:rsidP="00072050">
      <w:pPr>
        <w:spacing w:after="0" w:line="240" w:lineRule="auto"/>
        <w:jc w:val="both"/>
        <w:textAlignment w:val="baseline"/>
        <w:rPr>
          <w:rFonts w:ascii="Times New Roman" w:eastAsia="Times New Roman" w:hAnsi="Times New Roman" w:cs="Times New Roman"/>
          <w:color w:val="000000"/>
          <w:sz w:val="24"/>
          <w:szCs w:val="24"/>
          <w:lang w:eastAsia="fr-FR"/>
        </w:rPr>
      </w:pPr>
    </w:p>
    <w:p w14:paraId="5F31ED49" w14:textId="77777777" w:rsidR="00072050" w:rsidRDefault="00072050" w:rsidP="00072050">
      <w:pPr>
        <w:spacing w:after="0" w:line="240" w:lineRule="auto"/>
        <w:jc w:val="both"/>
        <w:textAlignment w:val="baseline"/>
        <w:rPr>
          <w:rFonts w:ascii="Times New Roman" w:eastAsia="Times New Roman" w:hAnsi="Times New Roman" w:cs="Times New Roman"/>
          <w:color w:val="000000"/>
          <w:sz w:val="24"/>
          <w:szCs w:val="24"/>
          <w:lang w:eastAsia="fr-FR"/>
        </w:rPr>
      </w:pPr>
    </w:p>
    <w:p w14:paraId="55AA07F5" w14:textId="77777777" w:rsidR="00072050" w:rsidRDefault="00072050" w:rsidP="00072050">
      <w:pPr>
        <w:spacing w:after="0" w:line="240" w:lineRule="auto"/>
        <w:jc w:val="both"/>
        <w:textAlignment w:val="baseline"/>
        <w:rPr>
          <w:rFonts w:ascii="Times New Roman" w:eastAsia="Times New Roman" w:hAnsi="Times New Roman" w:cs="Times New Roman"/>
          <w:color w:val="000000"/>
          <w:sz w:val="24"/>
          <w:szCs w:val="24"/>
          <w:lang w:eastAsia="fr-FR"/>
        </w:rPr>
      </w:pPr>
    </w:p>
    <w:p w14:paraId="58E5CE66" w14:textId="77777777" w:rsidR="00072050" w:rsidRPr="001F05B2" w:rsidRDefault="00072050" w:rsidP="00072050">
      <w:pPr>
        <w:spacing w:after="0" w:line="240" w:lineRule="auto"/>
        <w:jc w:val="both"/>
        <w:textAlignment w:val="baseline"/>
        <w:rPr>
          <w:rFonts w:ascii="Times New Roman" w:eastAsia="Times New Roman" w:hAnsi="Times New Roman" w:cs="Times New Roman"/>
          <w:color w:val="000000"/>
          <w:sz w:val="24"/>
          <w:szCs w:val="24"/>
          <w:lang w:eastAsia="fr-FR"/>
        </w:rPr>
      </w:pPr>
    </w:p>
    <w:p w14:paraId="40BB710E" w14:textId="77777777" w:rsidR="001F05B2" w:rsidRPr="001F05B2" w:rsidRDefault="001F05B2" w:rsidP="00072050">
      <w:pPr>
        <w:numPr>
          <w:ilvl w:val="0"/>
          <w:numId w:val="1"/>
        </w:numPr>
        <w:spacing w:after="60" w:line="300" w:lineRule="atLeast"/>
        <w:ind w:left="0"/>
        <w:jc w:val="both"/>
        <w:textAlignment w:val="baseline"/>
        <w:rPr>
          <w:rFonts w:ascii="Times New Roman" w:eastAsia="Times New Roman" w:hAnsi="Times New Roman" w:cs="Times New Roman"/>
          <w:color w:val="2D2828"/>
          <w:sz w:val="24"/>
          <w:szCs w:val="24"/>
          <w:lang w:eastAsia="fr-FR"/>
        </w:rPr>
      </w:pPr>
      <w:r w:rsidRPr="001F05B2">
        <w:rPr>
          <w:rFonts w:ascii="Times New Roman" w:eastAsia="Times New Roman" w:hAnsi="Times New Roman" w:cs="Times New Roman"/>
          <w:color w:val="2D2828"/>
          <w:sz w:val="24"/>
          <w:szCs w:val="24"/>
          <w:lang w:eastAsia="fr-FR"/>
        </w:rPr>
        <w:t> Les meilleures données cliniques externes issues de la recherche permettant de graduer le niveau de preuve ;</w:t>
      </w:r>
    </w:p>
    <w:p w14:paraId="71ED0CA9" w14:textId="4CC98EE4" w:rsidR="001F05B2" w:rsidRPr="001F05B2" w:rsidRDefault="00072050" w:rsidP="00072050">
      <w:pPr>
        <w:numPr>
          <w:ilvl w:val="0"/>
          <w:numId w:val="1"/>
        </w:numPr>
        <w:spacing w:after="60" w:line="300" w:lineRule="atLeast"/>
        <w:ind w:left="0"/>
        <w:jc w:val="both"/>
        <w:textAlignment w:val="baseline"/>
        <w:rPr>
          <w:rFonts w:ascii="Times New Roman" w:eastAsia="Times New Roman" w:hAnsi="Times New Roman" w:cs="Times New Roman"/>
          <w:color w:val="2D2828"/>
          <w:sz w:val="24"/>
          <w:szCs w:val="24"/>
          <w:lang w:eastAsia="fr-FR"/>
        </w:rPr>
      </w:pPr>
      <w:r w:rsidRPr="001F05B2">
        <w:rPr>
          <w:rFonts w:ascii="Times New Roman" w:eastAsia="Times New Roman" w:hAnsi="Times New Roman" w:cs="Times New Roman"/>
          <w:color w:val="2D2828"/>
          <w:sz w:val="24"/>
          <w:szCs w:val="24"/>
          <w:lang w:eastAsia="fr-FR"/>
        </w:rPr>
        <w:t>L’expertise</w:t>
      </w:r>
      <w:r w:rsidR="001F05B2" w:rsidRPr="001F05B2">
        <w:rPr>
          <w:rFonts w:ascii="Times New Roman" w:eastAsia="Times New Roman" w:hAnsi="Times New Roman" w:cs="Times New Roman"/>
          <w:color w:val="2D2828"/>
          <w:sz w:val="24"/>
          <w:szCs w:val="24"/>
          <w:lang w:eastAsia="fr-FR"/>
        </w:rPr>
        <w:t xml:space="preserve"> du clinicien reposant sur son expérience et son jugement ;</w:t>
      </w:r>
    </w:p>
    <w:p w14:paraId="2E0BA2C9" w14:textId="02959C05" w:rsidR="001F05B2" w:rsidRPr="001F05B2" w:rsidRDefault="00072050" w:rsidP="00072050">
      <w:pPr>
        <w:numPr>
          <w:ilvl w:val="0"/>
          <w:numId w:val="1"/>
        </w:numPr>
        <w:spacing w:after="60" w:line="300" w:lineRule="atLeast"/>
        <w:ind w:left="0"/>
        <w:jc w:val="both"/>
        <w:textAlignment w:val="baseline"/>
        <w:rPr>
          <w:rFonts w:ascii="Times New Roman" w:eastAsia="Times New Roman" w:hAnsi="Times New Roman" w:cs="Times New Roman"/>
          <w:color w:val="2D2828"/>
          <w:sz w:val="24"/>
          <w:szCs w:val="24"/>
          <w:lang w:eastAsia="fr-FR"/>
        </w:rPr>
      </w:pPr>
      <w:r w:rsidRPr="001F05B2">
        <w:rPr>
          <w:rFonts w:ascii="Times New Roman" w:eastAsia="Times New Roman" w:hAnsi="Times New Roman" w:cs="Times New Roman"/>
          <w:color w:val="2D2828"/>
          <w:sz w:val="24"/>
          <w:szCs w:val="24"/>
          <w:lang w:eastAsia="fr-FR"/>
        </w:rPr>
        <w:t>La</w:t>
      </w:r>
      <w:r w:rsidR="001F05B2" w:rsidRPr="001F05B2">
        <w:rPr>
          <w:rFonts w:ascii="Times New Roman" w:eastAsia="Times New Roman" w:hAnsi="Times New Roman" w:cs="Times New Roman"/>
          <w:color w:val="2D2828"/>
          <w:sz w:val="24"/>
          <w:szCs w:val="24"/>
          <w:lang w:eastAsia="fr-FR"/>
        </w:rPr>
        <w:t xml:space="preserve"> prise en compte de la situation du patient (âge, stade évolutif de la maladie, comorbidité(s</w:t>
      </w:r>
      <w:proofErr w:type="gramStart"/>
      <w:r w:rsidR="001F05B2" w:rsidRPr="001F05B2">
        <w:rPr>
          <w:rFonts w:ascii="Times New Roman" w:eastAsia="Times New Roman" w:hAnsi="Times New Roman" w:cs="Times New Roman"/>
          <w:color w:val="2D2828"/>
          <w:sz w:val="24"/>
          <w:szCs w:val="24"/>
          <w:lang w:eastAsia="fr-FR"/>
        </w:rPr>
        <w:t>),…</w:t>
      </w:r>
      <w:proofErr w:type="gramEnd"/>
      <w:r w:rsidR="001F05B2" w:rsidRPr="001F05B2">
        <w:rPr>
          <w:rFonts w:ascii="Times New Roman" w:eastAsia="Times New Roman" w:hAnsi="Times New Roman" w:cs="Times New Roman"/>
          <w:color w:val="2D2828"/>
          <w:sz w:val="24"/>
          <w:szCs w:val="24"/>
          <w:lang w:eastAsia="fr-FR"/>
        </w:rPr>
        <w:t>), de ses conditions psycho-socio-culturelles, de ses choix de vie, et de ses préférences.</w:t>
      </w:r>
    </w:p>
    <w:p w14:paraId="0F70C85F" w14:textId="77777777" w:rsidR="001F05B2" w:rsidRPr="001F05B2"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 xml:space="preserve">David </w:t>
      </w:r>
      <w:proofErr w:type="spellStart"/>
      <w:r w:rsidRPr="001F05B2">
        <w:rPr>
          <w:rFonts w:ascii="Times New Roman" w:eastAsia="Times New Roman" w:hAnsi="Times New Roman" w:cs="Times New Roman"/>
          <w:color w:val="000000"/>
          <w:sz w:val="24"/>
          <w:szCs w:val="24"/>
          <w:lang w:eastAsia="fr-FR"/>
        </w:rPr>
        <w:t>Sackett</w:t>
      </w:r>
      <w:proofErr w:type="spellEnd"/>
      <w:r w:rsidRPr="001F05B2">
        <w:rPr>
          <w:rFonts w:ascii="Times New Roman" w:eastAsia="Times New Roman" w:hAnsi="Times New Roman" w:cs="Times New Roman"/>
          <w:color w:val="000000"/>
          <w:sz w:val="24"/>
          <w:szCs w:val="24"/>
          <w:lang w:eastAsia="fr-FR"/>
        </w:rPr>
        <w:t xml:space="preserve"> insistait : </w:t>
      </w:r>
      <w:r w:rsidRPr="001F05B2">
        <w:rPr>
          <w:rFonts w:ascii="Times New Roman" w:eastAsia="Times New Roman" w:hAnsi="Times New Roman" w:cs="Times New Roman"/>
          <w:i/>
          <w:iCs/>
          <w:color w:val="000000"/>
          <w:sz w:val="24"/>
          <w:szCs w:val="24"/>
          <w:lang w:eastAsia="fr-FR"/>
        </w:rPr>
        <w:t>« les bons docteurs utilisent à la fois leur expertise clinique personnelle et les meilleures preuves externes disponibles »</w:t>
      </w:r>
      <w:r w:rsidRPr="001F05B2">
        <w:rPr>
          <w:rFonts w:ascii="Times New Roman" w:eastAsia="Times New Roman" w:hAnsi="Times New Roman" w:cs="Times New Roman"/>
          <w:color w:val="000000"/>
          <w:sz w:val="24"/>
          <w:szCs w:val="24"/>
          <w:lang w:eastAsia="fr-FR"/>
        </w:rPr>
        <w:t>, et mettait en garde : </w:t>
      </w:r>
      <w:r w:rsidRPr="001F05B2">
        <w:rPr>
          <w:rFonts w:ascii="Times New Roman" w:eastAsia="Times New Roman" w:hAnsi="Times New Roman" w:cs="Times New Roman"/>
          <w:i/>
          <w:iCs/>
          <w:color w:val="000000"/>
          <w:sz w:val="24"/>
          <w:szCs w:val="24"/>
          <w:lang w:eastAsia="fr-FR"/>
        </w:rPr>
        <w:t>« sans l’expertise clinique, la pratique risque de tomber sous la tyrannie de la preuve, puisque même les plus excellentes preuves externes peuvent être inapplicables ou inappropriées au patient spécifique dont nous avons la charge »</w:t>
      </w:r>
      <w:r w:rsidRPr="001F05B2">
        <w:rPr>
          <w:rFonts w:ascii="Times New Roman" w:eastAsia="Times New Roman" w:hAnsi="Times New Roman" w:cs="Times New Roman"/>
          <w:color w:val="000000"/>
          <w:sz w:val="24"/>
          <w:szCs w:val="24"/>
          <w:lang w:eastAsia="fr-FR"/>
        </w:rPr>
        <w:t>. Cette mise en garde n’a guère été entendue par les économistes, les gestionnaires, et certains médecins de santé publique, estimant que le médecin devenait un ingénieur ou un technicien censé appliquer des recommandations érigées en normes. Ainsi, l’économiste de la santé, Claude Le Pen, estimait, en 1999, dans son livre </w:t>
      </w:r>
      <w:r w:rsidRPr="001F05B2">
        <w:rPr>
          <w:rFonts w:ascii="Times New Roman" w:eastAsia="Times New Roman" w:hAnsi="Times New Roman" w:cs="Times New Roman"/>
          <w:i/>
          <w:iCs/>
          <w:color w:val="000000"/>
          <w:sz w:val="24"/>
          <w:szCs w:val="24"/>
          <w:lang w:eastAsia="fr-FR"/>
        </w:rPr>
        <w:t>« Les habits neufs d’Hippocrate : Du médecin artisan au médecin ingénieur »</w:t>
      </w:r>
      <w:r w:rsidRPr="001F05B2">
        <w:rPr>
          <w:rFonts w:ascii="Times New Roman" w:eastAsia="Times New Roman" w:hAnsi="Times New Roman" w:cs="Times New Roman"/>
          <w:color w:val="000000"/>
          <w:sz w:val="24"/>
          <w:szCs w:val="24"/>
          <w:lang w:eastAsia="fr-FR"/>
        </w:rPr>
        <w:t> [ 3 ], que </w:t>
      </w:r>
      <w:r w:rsidRPr="001F05B2">
        <w:rPr>
          <w:rFonts w:ascii="Times New Roman" w:eastAsia="Times New Roman" w:hAnsi="Times New Roman" w:cs="Times New Roman"/>
          <w:i/>
          <w:iCs/>
          <w:color w:val="000000"/>
          <w:sz w:val="24"/>
          <w:szCs w:val="24"/>
          <w:lang w:eastAsia="fr-FR"/>
        </w:rPr>
        <w:t>« le modèle de l’EBM changera la pratique médicale dans son ensemble, en la rendant plus froide, plus technicienne, plus évaluatrice, plus systématique, plus algorithmique… »</w:t>
      </w:r>
      <w:r w:rsidRPr="001F05B2">
        <w:rPr>
          <w:rFonts w:ascii="Times New Roman" w:eastAsia="Times New Roman" w:hAnsi="Times New Roman" w:cs="Times New Roman"/>
          <w:color w:val="000000"/>
          <w:sz w:val="24"/>
          <w:szCs w:val="24"/>
          <w:lang w:eastAsia="fr-FR"/>
        </w:rPr>
        <w:t>, et il ajoutait : </w:t>
      </w:r>
      <w:r w:rsidRPr="001F05B2">
        <w:rPr>
          <w:rFonts w:ascii="Times New Roman" w:eastAsia="Times New Roman" w:hAnsi="Times New Roman" w:cs="Times New Roman"/>
          <w:i/>
          <w:iCs/>
          <w:color w:val="000000"/>
          <w:sz w:val="24"/>
          <w:szCs w:val="24"/>
          <w:lang w:eastAsia="fr-FR"/>
        </w:rPr>
        <w:t>« les scientifiques prendront le pouvoir, quantifiant, mesurant, normalisant l’activité médicale, et faisant passer ces démarches du monde clos des expérimentateurs et des médecins des CHU au cabinet du généraliste »</w:t>
      </w:r>
      <w:r w:rsidRPr="001F05B2">
        <w:rPr>
          <w:rFonts w:ascii="Times New Roman" w:eastAsia="Times New Roman" w:hAnsi="Times New Roman" w:cs="Times New Roman"/>
          <w:color w:val="000000"/>
          <w:sz w:val="24"/>
          <w:szCs w:val="24"/>
          <w:lang w:eastAsia="fr-FR"/>
        </w:rPr>
        <w:t>. Pour lui, </w:t>
      </w:r>
      <w:r w:rsidRPr="001F05B2">
        <w:rPr>
          <w:rFonts w:ascii="Times New Roman" w:eastAsia="Times New Roman" w:hAnsi="Times New Roman" w:cs="Times New Roman"/>
          <w:i/>
          <w:iCs/>
          <w:color w:val="000000"/>
          <w:sz w:val="24"/>
          <w:szCs w:val="24"/>
          <w:lang w:eastAsia="fr-FR"/>
        </w:rPr>
        <w:t>« le médecin gère une maladie, dont les patients ne sont que le support, il ne les connaît pas. Ils ne sont qu’un genre de livre dans lequel il lit les signes de la maladie »</w:t>
      </w:r>
      <w:r w:rsidRPr="001F05B2">
        <w:rPr>
          <w:rFonts w:ascii="Times New Roman" w:eastAsia="Times New Roman" w:hAnsi="Times New Roman" w:cs="Times New Roman"/>
          <w:color w:val="000000"/>
          <w:sz w:val="24"/>
          <w:szCs w:val="24"/>
          <w:lang w:eastAsia="fr-FR"/>
        </w:rPr>
        <w:t>, car </w:t>
      </w:r>
      <w:r w:rsidRPr="001F05B2">
        <w:rPr>
          <w:rFonts w:ascii="Times New Roman" w:eastAsia="Times New Roman" w:hAnsi="Times New Roman" w:cs="Times New Roman"/>
          <w:i/>
          <w:iCs/>
          <w:color w:val="000000"/>
          <w:sz w:val="24"/>
          <w:szCs w:val="24"/>
          <w:lang w:eastAsia="fr-FR"/>
        </w:rPr>
        <w:t>« la maladie est définie comme l’anomalie numérique d’un paramètre. Le but du traitement est la normalisation. Le chiffre absorbe le qualitatif. Dans la médecine industrielle de demain, nul ne sera médecin s’il n’est géomètre »</w:t>
      </w:r>
      <w:r w:rsidRPr="001F05B2">
        <w:rPr>
          <w:rFonts w:ascii="Times New Roman" w:eastAsia="Times New Roman" w:hAnsi="Times New Roman" w:cs="Times New Roman"/>
          <w:color w:val="000000"/>
          <w:sz w:val="24"/>
          <w:szCs w:val="24"/>
          <w:lang w:eastAsia="fr-FR"/>
        </w:rPr>
        <w:t xml:space="preserve">. Vision caricaturale certes, mais dont est issue directement, au début des années 2000, le concept d’inertie clinique, définie comme la non-concordance des prescriptions du médecin avec les recommandations, alors que cette apparente inertie peut être parfaitement justifiée – ou du moins explicable – comme le souligne très justement Gérard </w:t>
      </w:r>
      <w:proofErr w:type="spellStart"/>
      <w:r w:rsidRPr="001F05B2">
        <w:rPr>
          <w:rFonts w:ascii="Times New Roman" w:eastAsia="Times New Roman" w:hAnsi="Times New Roman" w:cs="Times New Roman"/>
          <w:color w:val="000000"/>
          <w:sz w:val="24"/>
          <w:szCs w:val="24"/>
          <w:lang w:eastAsia="fr-FR"/>
        </w:rPr>
        <w:t>Reach</w:t>
      </w:r>
      <w:proofErr w:type="spellEnd"/>
      <w:r w:rsidRPr="001F05B2">
        <w:rPr>
          <w:rFonts w:ascii="Times New Roman" w:eastAsia="Times New Roman" w:hAnsi="Times New Roman" w:cs="Times New Roman"/>
          <w:color w:val="000000"/>
          <w:sz w:val="24"/>
          <w:szCs w:val="24"/>
          <w:lang w:eastAsia="fr-FR"/>
        </w:rPr>
        <w:t xml:space="preserve"> </w:t>
      </w:r>
      <w:proofErr w:type="gramStart"/>
      <w:r w:rsidRPr="001F05B2">
        <w:rPr>
          <w:rFonts w:ascii="Times New Roman" w:eastAsia="Times New Roman" w:hAnsi="Times New Roman" w:cs="Times New Roman"/>
          <w:color w:val="000000"/>
          <w:sz w:val="24"/>
          <w:szCs w:val="24"/>
          <w:lang w:eastAsia="fr-FR"/>
        </w:rPr>
        <w:t>[ 4</w:t>
      </w:r>
      <w:proofErr w:type="gramEnd"/>
      <w:r w:rsidRPr="001F05B2">
        <w:rPr>
          <w:rFonts w:ascii="Times New Roman" w:eastAsia="Times New Roman" w:hAnsi="Times New Roman" w:cs="Times New Roman"/>
          <w:color w:val="000000"/>
          <w:sz w:val="24"/>
          <w:szCs w:val="24"/>
          <w:lang w:eastAsia="fr-FR"/>
        </w:rPr>
        <w:t xml:space="preserve"> ], ce que la méthodologie de la plupart des études publiées sur le sujet ne permet pas d’évaluer. L’inertie clinique a été présentée comme la non-observance du médecin aux recommandations, transformant par là même ces recommandations en règles impératives, et non en un simple repère utile pour individualiser le traitement. Récemment, des députés français voulaient rendre obligatoires, sous peine de sanction, les recommandations de la Haute Autorité de santé (HAS) </w:t>
      </w:r>
      <w:proofErr w:type="gramStart"/>
      <w:r w:rsidRPr="001F05B2">
        <w:rPr>
          <w:rFonts w:ascii="Times New Roman" w:eastAsia="Times New Roman" w:hAnsi="Times New Roman" w:cs="Times New Roman"/>
          <w:color w:val="000000"/>
          <w:sz w:val="24"/>
          <w:szCs w:val="24"/>
          <w:lang w:eastAsia="fr-FR"/>
        </w:rPr>
        <w:t>[ 5</w:t>
      </w:r>
      <w:proofErr w:type="gramEnd"/>
      <w:r w:rsidRPr="001F05B2">
        <w:rPr>
          <w:rFonts w:ascii="Times New Roman" w:eastAsia="Times New Roman" w:hAnsi="Times New Roman" w:cs="Times New Roman"/>
          <w:color w:val="000000"/>
          <w:sz w:val="24"/>
          <w:szCs w:val="24"/>
          <w:lang w:eastAsia="fr-FR"/>
        </w:rPr>
        <w:t xml:space="preserve"> ]. Cette vision </w:t>
      </w:r>
      <w:r w:rsidRPr="001F05B2">
        <w:rPr>
          <w:rFonts w:ascii="Times New Roman" w:eastAsia="Times New Roman" w:hAnsi="Times New Roman" w:cs="Times New Roman"/>
          <w:i/>
          <w:iCs/>
          <w:color w:val="000000"/>
          <w:sz w:val="24"/>
          <w:szCs w:val="24"/>
          <w:lang w:eastAsia="fr-FR"/>
        </w:rPr>
        <w:t>« objectivante »</w:t>
      </w:r>
      <w:r w:rsidRPr="001F05B2">
        <w:rPr>
          <w:rFonts w:ascii="Times New Roman" w:eastAsia="Times New Roman" w:hAnsi="Times New Roman" w:cs="Times New Roman"/>
          <w:color w:val="000000"/>
          <w:sz w:val="24"/>
          <w:szCs w:val="24"/>
          <w:lang w:eastAsia="fr-FR"/>
        </w:rPr>
        <w:t>, numérique,</w:t>
      </w:r>
      <w:r w:rsidRPr="001F05B2">
        <w:rPr>
          <w:rFonts w:ascii="Times New Roman" w:eastAsia="Times New Roman" w:hAnsi="Times New Roman" w:cs="Times New Roman"/>
          <w:i/>
          <w:iCs/>
          <w:color w:val="000000"/>
          <w:sz w:val="24"/>
          <w:szCs w:val="24"/>
          <w:lang w:eastAsia="fr-FR"/>
        </w:rPr>
        <w:t> « pseudo-scientifique »</w:t>
      </w:r>
      <w:r w:rsidRPr="001F05B2">
        <w:rPr>
          <w:rFonts w:ascii="Times New Roman" w:eastAsia="Times New Roman" w:hAnsi="Times New Roman" w:cs="Times New Roman"/>
          <w:color w:val="000000"/>
          <w:sz w:val="24"/>
          <w:szCs w:val="24"/>
          <w:lang w:eastAsia="fr-FR"/>
        </w:rPr>
        <w:t> de la médecine, s’est développée au détriment de la clinique, sommant l’ETP de faire ses preuves sur des données d’</w:t>
      </w:r>
      <w:r w:rsidRPr="001F05B2">
        <w:rPr>
          <w:rFonts w:ascii="Times New Roman" w:eastAsia="Times New Roman" w:hAnsi="Times New Roman" w:cs="Times New Roman"/>
          <w:i/>
          <w:iCs/>
          <w:color w:val="000000"/>
          <w:sz w:val="24"/>
          <w:szCs w:val="24"/>
          <w:lang w:eastAsia="fr-FR"/>
        </w:rPr>
        <w:t xml:space="preserve">« </w:t>
      </w:r>
      <w:proofErr w:type="spellStart"/>
      <w:r w:rsidRPr="001F05B2">
        <w:rPr>
          <w:rFonts w:ascii="Times New Roman" w:eastAsia="Times New Roman" w:hAnsi="Times New Roman" w:cs="Times New Roman"/>
          <w:i/>
          <w:iCs/>
          <w:color w:val="000000"/>
          <w:sz w:val="24"/>
          <w:szCs w:val="24"/>
          <w:lang w:eastAsia="fr-FR"/>
        </w:rPr>
        <w:t>outcomes</w:t>
      </w:r>
      <w:proofErr w:type="spellEnd"/>
      <w:r w:rsidRPr="001F05B2">
        <w:rPr>
          <w:rFonts w:ascii="Times New Roman" w:eastAsia="Times New Roman" w:hAnsi="Times New Roman" w:cs="Times New Roman"/>
          <w:i/>
          <w:iCs/>
          <w:color w:val="000000"/>
          <w:sz w:val="24"/>
          <w:szCs w:val="24"/>
          <w:lang w:eastAsia="fr-FR"/>
        </w:rPr>
        <w:t xml:space="preserve"> »</w:t>
      </w:r>
      <w:r w:rsidRPr="001F05B2">
        <w:rPr>
          <w:rFonts w:ascii="Times New Roman" w:eastAsia="Times New Roman" w:hAnsi="Times New Roman" w:cs="Times New Roman"/>
          <w:color w:val="000000"/>
          <w:sz w:val="24"/>
          <w:szCs w:val="24"/>
          <w:lang w:eastAsia="fr-FR"/>
        </w:rPr>
        <w:t>, comme on l’exige d’un médicament, alors que l’évaluation clinique de l’ETP ne peut se faire que sur les objectifs personnels fixés avec les patients à l‘issue de l’éducation, et non pas avant, le patient ayant d’ailleurs le droit de choisir de ne pas en fixer ou de fixer des objectifs généraux non réellement évaluables [ 6 ]. Quoi qu’il en soit, il est significatif que l’ETP n’ait pas réussi à trouver une place importante au sein des congrès médicaux, et qu’elle ait été confiée – pour l’essentiel – aux paramédicaux.</w:t>
      </w:r>
    </w:p>
    <w:p w14:paraId="4EC44581" w14:textId="77777777" w:rsidR="00072050" w:rsidRDefault="001F05B2" w:rsidP="00072050">
      <w:pPr>
        <w:spacing w:after="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b/>
          <w:bCs/>
          <w:color w:val="000000"/>
          <w:sz w:val="24"/>
          <w:szCs w:val="24"/>
          <w:bdr w:val="none" w:sz="0" w:space="0" w:color="auto" w:frame="1"/>
          <w:lang w:eastAsia="fr-FR"/>
        </w:rPr>
        <w:t xml:space="preserve">La psychologie a évolué d’un modèle analytique dominant vers un modèle </w:t>
      </w:r>
      <w:proofErr w:type="spellStart"/>
      <w:r w:rsidRPr="001F05B2">
        <w:rPr>
          <w:rFonts w:ascii="Times New Roman" w:eastAsia="Times New Roman" w:hAnsi="Times New Roman" w:cs="Times New Roman"/>
          <w:b/>
          <w:bCs/>
          <w:color w:val="000000"/>
          <w:sz w:val="24"/>
          <w:szCs w:val="24"/>
          <w:bdr w:val="none" w:sz="0" w:space="0" w:color="auto" w:frame="1"/>
          <w:lang w:eastAsia="fr-FR"/>
        </w:rPr>
        <w:t>cognitivo</w:t>
      </w:r>
      <w:proofErr w:type="spellEnd"/>
      <w:r w:rsidRPr="001F05B2">
        <w:rPr>
          <w:rFonts w:ascii="Times New Roman" w:eastAsia="Times New Roman" w:hAnsi="Times New Roman" w:cs="Times New Roman"/>
          <w:b/>
          <w:bCs/>
          <w:color w:val="000000"/>
          <w:sz w:val="24"/>
          <w:szCs w:val="24"/>
          <w:bdr w:val="none" w:sz="0" w:space="0" w:color="auto" w:frame="1"/>
          <w:lang w:eastAsia="fr-FR"/>
        </w:rPr>
        <w:t>-comportemental. </w:t>
      </w:r>
      <w:r w:rsidRPr="001F05B2">
        <w:rPr>
          <w:rFonts w:ascii="Times New Roman" w:eastAsia="Times New Roman" w:hAnsi="Times New Roman" w:cs="Times New Roman"/>
          <w:color w:val="000000"/>
          <w:sz w:val="24"/>
          <w:szCs w:val="24"/>
          <w:lang w:eastAsia="fr-FR"/>
        </w:rPr>
        <w:br/>
        <w:t xml:space="preserve">L’ETP est redevable à l’approche analytique moins de la théorie freudienne de l’inconscient que de la réflexion sur le travail de deuil, le narcissisme, et les mécanismes de défense du moi </w:t>
      </w:r>
      <w:proofErr w:type="gramStart"/>
      <w:r w:rsidRPr="001F05B2">
        <w:rPr>
          <w:rFonts w:ascii="Times New Roman" w:eastAsia="Times New Roman" w:hAnsi="Times New Roman" w:cs="Times New Roman"/>
          <w:color w:val="000000"/>
          <w:sz w:val="24"/>
          <w:szCs w:val="24"/>
          <w:lang w:eastAsia="fr-FR"/>
        </w:rPr>
        <w:t>[ 7</w:t>
      </w:r>
      <w:proofErr w:type="gramEnd"/>
      <w:r w:rsidRPr="001F05B2">
        <w:rPr>
          <w:rFonts w:ascii="Times New Roman" w:eastAsia="Times New Roman" w:hAnsi="Times New Roman" w:cs="Times New Roman"/>
          <w:color w:val="000000"/>
          <w:sz w:val="24"/>
          <w:szCs w:val="24"/>
          <w:lang w:eastAsia="fr-FR"/>
        </w:rPr>
        <w:t xml:space="preserve"> 8 9 ]. Toutefois, en décalquant un peu mécaniquement les étapes du travail de deuil décrits </w:t>
      </w:r>
    </w:p>
    <w:p w14:paraId="784CFBD3" w14:textId="77777777" w:rsidR="00072050" w:rsidRDefault="00072050" w:rsidP="00072050">
      <w:pPr>
        <w:spacing w:after="0" w:line="240" w:lineRule="auto"/>
        <w:jc w:val="both"/>
        <w:textAlignment w:val="baseline"/>
        <w:rPr>
          <w:rFonts w:ascii="Times New Roman" w:eastAsia="Times New Roman" w:hAnsi="Times New Roman" w:cs="Times New Roman"/>
          <w:color w:val="000000"/>
          <w:sz w:val="24"/>
          <w:szCs w:val="24"/>
          <w:lang w:eastAsia="fr-FR"/>
        </w:rPr>
      </w:pPr>
    </w:p>
    <w:p w14:paraId="7158F873" w14:textId="77777777" w:rsidR="00072050" w:rsidRDefault="00072050" w:rsidP="00072050">
      <w:pPr>
        <w:spacing w:after="0" w:line="240" w:lineRule="auto"/>
        <w:jc w:val="both"/>
        <w:textAlignment w:val="baseline"/>
        <w:rPr>
          <w:rFonts w:ascii="Times New Roman" w:eastAsia="Times New Roman" w:hAnsi="Times New Roman" w:cs="Times New Roman"/>
          <w:color w:val="000000"/>
          <w:sz w:val="24"/>
          <w:szCs w:val="24"/>
          <w:lang w:eastAsia="fr-FR"/>
        </w:rPr>
      </w:pPr>
    </w:p>
    <w:p w14:paraId="28473155" w14:textId="77777777" w:rsidR="00072050" w:rsidRDefault="00072050" w:rsidP="00072050">
      <w:pPr>
        <w:spacing w:after="0" w:line="240" w:lineRule="auto"/>
        <w:jc w:val="both"/>
        <w:textAlignment w:val="baseline"/>
        <w:rPr>
          <w:rFonts w:ascii="Times New Roman" w:eastAsia="Times New Roman" w:hAnsi="Times New Roman" w:cs="Times New Roman"/>
          <w:color w:val="000000"/>
          <w:sz w:val="24"/>
          <w:szCs w:val="24"/>
          <w:lang w:eastAsia="fr-FR"/>
        </w:rPr>
      </w:pPr>
    </w:p>
    <w:p w14:paraId="795DCE78" w14:textId="77777777" w:rsidR="00072050" w:rsidRDefault="001F05B2" w:rsidP="00072050">
      <w:pPr>
        <w:spacing w:after="0" w:line="240" w:lineRule="auto"/>
        <w:jc w:val="both"/>
        <w:textAlignment w:val="baseline"/>
        <w:rPr>
          <w:rFonts w:ascii="Times New Roman" w:eastAsia="Times New Roman" w:hAnsi="Times New Roman" w:cs="Times New Roman"/>
          <w:color w:val="000000"/>
          <w:sz w:val="24"/>
          <w:szCs w:val="24"/>
          <w:lang w:eastAsia="fr-FR"/>
        </w:rPr>
      </w:pPr>
      <w:proofErr w:type="gramStart"/>
      <w:r w:rsidRPr="001F05B2">
        <w:rPr>
          <w:rFonts w:ascii="Times New Roman" w:eastAsia="Times New Roman" w:hAnsi="Times New Roman" w:cs="Times New Roman"/>
          <w:color w:val="000000"/>
          <w:sz w:val="24"/>
          <w:szCs w:val="24"/>
          <w:lang w:eastAsia="fr-FR"/>
        </w:rPr>
        <w:t>par</w:t>
      </w:r>
      <w:proofErr w:type="gramEnd"/>
      <w:r w:rsidRPr="001F05B2">
        <w:rPr>
          <w:rFonts w:ascii="Times New Roman" w:eastAsia="Times New Roman" w:hAnsi="Times New Roman" w:cs="Times New Roman"/>
          <w:color w:val="000000"/>
          <w:sz w:val="24"/>
          <w:szCs w:val="24"/>
          <w:lang w:eastAsia="fr-FR"/>
        </w:rPr>
        <w:t xml:space="preserve"> Elisabeth Kübler-Ross [ 10 ] sur le processus d’acceptation de la maladie analysé par Rolf </w:t>
      </w:r>
      <w:proofErr w:type="spellStart"/>
      <w:r w:rsidRPr="001F05B2">
        <w:rPr>
          <w:rFonts w:ascii="Times New Roman" w:eastAsia="Times New Roman" w:hAnsi="Times New Roman" w:cs="Times New Roman"/>
          <w:color w:val="000000"/>
          <w:sz w:val="24"/>
          <w:szCs w:val="24"/>
          <w:lang w:eastAsia="fr-FR"/>
        </w:rPr>
        <w:t>Gfeller</w:t>
      </w:r>
      <w:proofErr w:type="spellEnd"/>
      <w:r w:rsidRPr="001F05B2">
        <w:rPr>
          <w:rFonts w:ascii="Times New Roman" w:eastAsia="Times New Roman" w:hAnsi="Times New Roman" w:cs="Times New Roman"/>
          <w:color w:val="000000"/>
          <w:sz w:val="24"/>
          <w:szCs w:val="24"/>
          <w:lang w:eastAsia="fr-FR"/>
        </w:rPr>
        <w:t xml:space="preserve"> et Jean-Philippe </w:t>
      </w:r>
      <w:proofErr w:type="spellStart"/>
      <w:r w:rsidRPr="001F05B2">
        <w:rPr>
          <w:rFonts w:ascii="Times New Roman" w:eastAsia="Times New Roman" w:hAnsi="Times New Roman" w:cs="Times New Roman"/>
          <w:color w:val="000000"/>
          <w:sz w:val="24"/>
          <w:szCs w:val="24"/>
          <w:lang w:eastAsia="fr-FR"/>
        </w:rPr>
        <w:t>Assal</w:t>
      </w:r>
      <w:proofErr w:type="spellEnd"/>
      <w:r w:rsidRPr="001F05B2">
        <w:rPr>
          <w:rFonts w:ascii="Times New Roman" w:eastAsia="Times New Roman" w:hAnsi="Times New Roman" w:cs="Times New Roman"/>
          <w:color w:val="000000"/>
          <w:sz w:val="24"/>
          <w:szCs w:val="24"/>
          <w:lang w:eastAsia="fr-FR"/>
        </w:rPr>
        <w:t xml:space="preserve"> [ 11 ], les soignants ont souvent cherché à classer les patients en collant l’étiquette du déni ou du marchandage à tous ceux qui refusaient, en tout ou en partie, les contraintes du traitement, ou qui cachaient leur maladie à leur entourage. On n’a, par contre, sûrement pas assez insisté sur certaines </w:t>
      </w:r>
      <w:r w:rsidRPr="001F05B2">
        <w:rPr>
          <w:rFonts w:ascii="Times New Roman" w:eastAsia="Times New Roman" w:hAnsi="Times New Roman" w:cs="Times New Roman"/>
          <w:i/>
          <w:iCs/>
          <w:color w:val="000000"/>
          <w:sz w:val="24"/>
          <w:szCs w:val="24"/>
          <w:lang w:eastAsia="fr-FR"/>
        </w:rPr>
        <w:t>« lois du deuil »</w:t>
      </w:r>
      <w:r w:rsidRPr="001F05B2">
        <w:rPr>
          <w:rFonts w:ascii="Times New Roman" w:eastAsia="Times New Roman" w:hAnsi="Times New Roman" w:cs="Times New Roman"/>
          <w:color w:val="000000"/>
          <w:sz w:val="24"/>
          <w:szCs w:val="24"/>
          <w:lang w:eastAsia="fr-FR"/>
        </w:rPr>
        <w:t>, selon lesquelles tout nouveau deuil tend à raviver tous les deuils antérieurs, et tout deuil non fait rend difficile tout nouveau deuil. D’où l’importance de faciliter l’expression du patient sur son vécu antérieur à la maladie.</w:t>
      </w:r>
      <w:r w:rsidRPr="001F05B2">
        <w:rPr>
          <w:rFonts w:ascii="Times New Roman" w:eastAsia="Times New Roman" w:hAnsi="Times New Roman" w:cs="Times New Roman"/>
          <w:color w:val="000000"/>
          <w:sz w:val="24"/>
          <w:szCs w:val="24"/>
          <w:lang w:eastAsia="fr-FR"/>
        </w:rPr>
        <w:br/>
        <w:t xml:space="preserve">• La théorie freudienne sur le « principe de plaisir » </w:t>
      </w:r>
      <w:proofErr w:type="gramStart"/>
      <w:r w:rsidRPr="001F05B2">
        <w:rPr>
          <w:rFonts w:ascii="Times New Roman" w:eastAsia="Times New Roman" w:hAnsi="Times New Roman" w:cs="Times New Roman"/>
          <w:color w:val="000000"/>
          <w:sz w:val="24"/>
          <w:szCs w:val="24"/>
          <w:lang w:eastAsia="fr-FR"/>
        </w:rPr>
        <w:t>[ 12</w:t>
      </w:r>
      <w:proofErr w:type="gramEnd"/>
      <w:r w:rsidRPr="001F05B2">
        <w:rPr>
          <w:rFonts w:ascii="Times New Roman" w:eastAsia="Times New Roman" w:hAnsi="Times New Roman" w:cs="Times New Roman"/>
          <w:color w:val="000000"/>
          <w:sz w:val="24"/>
          <w:szCs w:val="24"/>
          <w:lang w:eastAsia="fr-FR"/>
        </w:rPr>
        <w:t xml:space="preserve"> ] a trouvé un prolongement dans le concept d’</w:t>
      </w:r>
      <w:r w:rsidRPr="001F05B2">
        <w:rPr>
          <w:rFonts w:ascii="Times New Roman" w:eastAsia="Times New Roman" w:hAnsi="Times New Roman" w:cs="Times New Roman"/>
          <w:i/>
          <w:iCs/>
          <w:color w:val="000000"/>
          <w:sz w:val="24"/>
          <w:szCs w:val="24"/>
          <w:lang w:eastAsia="fr-FR"/>
        </w:rPr>
        <w:t>« homéostasie psychique »</w:t>
      </w:r>
      <w:r w:rsidRPr="001F05B2">
        <w:rPr>
          <w:rFonts w:ascii="Times New Roman" w:eastAsia="Times New Roman" w:hAnsi="Times New Roman" w:cs="Times New Roman"/>
          <w:color w:val="000000"/>
          <w:sz w:val="24"/>
          <w:szCs w:val="24"/>
          <w:lang w:eastAsia="fr-FR"/>
        </w:rPr>
        <w:t xml:space="preserve"> développé, notamment, par Philippe </w:t>
      </w:r>
      <w:proofErr w:type="spellStart"/>
      <w:r w:rsidRPr="001F05B2">
        <w:rPr>
          <w:rFonts w:ascii="Times New Roman" w:eastAsia="Times New Roman" w:hAnsi="Times New Roman" w:cs="Times New Roman"/>
          <w:color w:val="000000"/>
          <w:sz w:val="24"/>
          <w:szCs w:val="24"/>
          <w:lang w:eastAsia="fr-FR"/>
        </w:rPr>
        <w:t>Jeammet</w:t>
      </w:r>
      <w:proofErr w:type="spellEnd"/>
      <w:r w:rsidRPr="001F05B2">
        <w:rPr>
          <w:rFonts w:ascii="Times New Roman" w:eastAsia="Times New Roman" w:hAnsi="Times New Roman" w:cs="Times New Roman"/>
          <w:color w:val="000000"/>
          <w:sz w:val="24"/>
          <w:szCs w:val="24"/>
          <w:lang w:eastAsia="fr-FR"/>
        </w:rPr>
        <w:t xml:space="preserve"> [ 13 ]. Lorsque ses besoins primaires sont assouvis (la faim, la soif, l’absence de douleur, la sécurité physique…), l’être humain donne la priorité à l</w:t>
      </w:r>
      <w:proofErr w:type="gramStart"/>
      <w:r w:rsidRPr="001F05B2">
        <w:rPr>
          <w:rFonts w:ascii="Times New Roman" w:eastAsia="Times New Roman" w:hAnsi="Times New Roman" w:cs="Times New Roman"/>
          <w:color w:val="000000"/>
          <w:sz w:val="24"/>
          <w:szCs w:val="24"/>
          <w:lang w:eastAsia="fr-FR"/>
        </w:rPr>
        <w:t>’</w:t>
      </w:r>
      <w:r w:rsidRPr="001F05B2">
        <w:rPr>
          <w:rFonts w:ascii="Times New Roman" w:eastAsia="Times New Roman" w:hAnsi="Times New Roman" w:cs="Times New Roman"/>
          <w:i/>
          <w:iCs/>
          <w:color w:val="000000"/>
          <w:sz w:val="24"/>
          <w:szCs w:val="24"/>
          <w:lang w:eastAsia="fr-FR"/>
        </w:rPr>
        <w:t>«</w:t>
      </w:r>
      <w:proofErr w:type="gramEnd"/>
      <w:r w:rsidRPr="001F05B2">
        <w:rPr>
          <w:rFonts w:ascii="Times New Roman" w:eastAsia="Times New Roman" w:hAnsi="Times New Roman" w:cs="Times New Roman"/>
          <w:i/>
          <w:iCs/>
          <w:color w:val="000000"/>
          <w:sz w:val="24"/>
          <w:szCs w:val="24"/>
          <w:lang w:eastAsia="fr-FR"/>
        </w:rPr>
        <w:t xml:space="preserve"> homéostasie psychique »</w:t>
      </w:r>
      <w:r w:rsidRPr="001F05B2">
        <w:rPr>
          <w:rFonts w:ascii="Times New Roman" w:eastAsia="Times New Roman" w:hAnsi="Times New Roman" w:cs="Times New Roman"/>
          <w:color w:val="000000"/>
          <w:sz w:val="24"/>
          <w:szCs w:val="24"/>
          <w:lang w:eastAsia="fr-FR"/>
        </w:rPr>
        <w:t>, comprise comme l’absence de dépression ou la limitation de l’angoisse, par la mise en œuvre de stratégies diverses, fussent-elles susceptibles de menacer son homéostasie biologique, c’est-à-dire de mettre en cause sa vie. La mort physique plutôt que la mort psychique ! </w:t>
      </w:r>
      <w:r w:rsidRPr="001F05B2">
        <w:rPr>
          <w:rFonts w:ascii="Times New Roman" w:eastAsia="Times New Roman" w:hAnsi="Times New Roman" w:cs="Times New Roman"/>
          <w:i/>
          <w:iCs/>
          <w:color w:val="000000"/>
          <w:sz w:val="24"/>
          <w:szCs w:val="24"/>
          <w:lang w:eastAsia="fr-FR"/>
        </w:rPr>
        <w:t>« Se détruire pour exister, un paradoxe très humain »</w:t>
      </w:r>
      <w:r w:rsidRPr="001F05B2">
        <w:rPr>
          <w:rFonts w:ascii="Times New Roman" w:eastAsia="Times New Roman" w:hAnsi="Times New Roman" w:cs="Times New Roman"/>
          <w:color w:val="000000"/>
          <w:sz w:val="24"/>
          <w:szCs w:val="24"/>
          <w:lang w:eastAsia="fr-FR"/>
        </w:rPr>
        <w:t xml:space="preserve">, comme le dit Ph. </w:t>
      </w:r>
      <w:proofErr w:type="spellStart"/>
      <w:r w:rsidRPr="001F05B2">
        <w:rPr>
          <w:rFonts w:ascii="Times New Roman" w:eastAsia="Times New Roman" w:hAnsi="Times New Roman" w:cs="Times New Roman"/>
          <w:color w:val="000000"/>
          <w:sz w:val="24"/>
          <w:szCs w:val="24"/>
          <w:lang w:eastAsia="fr-FR"/>
        </w:rPr>
        <w:t>Jeammet</w:t>
      </w:r>
      <w:proofErr w:type="spellEnd"/>
      <w:r w:rsidRPr="001F05B2">
        <w:rPr>
          <w:rFonts w:ascii="Times New Roman" w:eastAsia="Times New Roman" w:hAnsi="Times New Roman" w:cs="Times New Roman"/>
          <w:color w:val="000000"/>
          <w:sz w:val="24"/>
          <w:szCs w:val="24"/>
          <w:lang w:eastAsia="fr-FR"/>
        </w:rPr>
        <w:t>. Tout l’inverse donc d’une volonté suicidaire. On sait que la dépression est environ 2 fois plus fréquentes chez les patients atteints de maladies chroniques, mais on ne connaît pas le pourcentage de patients luttant contre l’</w:t>
      </w:r>
      <w:proofErr w:type="spellStart"/>
      <w:r w:rsidRPr="001F05B2">
        <w:rPr>
          <w:rFonts w:ascii="Times New Roman" w:eastAsia="Times New Roman" w:hAnsi="Times New Roman" w:cs="Times New Roman"/>
          <w:color w:val="000000"/>
          <w:sz w:val="24"/>
          <w:szCs w:val="24"/>
          <w:lang w:eastAsia="fr-FR"/>
        </w:rPr>
        <w:t>anxio</w:t>
      </w:r>
      <w:proofErr w:type="spellEnd"/>
      <w:r w:rsidRPr="001F05B2">
        <w:rPr>
          <w:rFonts w:ascii="Times New Roman" w:eastAsia="Times New Roman" w:hAnsi="Times New Roman" w:cs="Times New Roman"/>
          <w:color w:val="000000"/>
          <w:sz w:val="24"/>
          <w:szCs w:val="24"/>
          <w:lang w:eastAsia="fr-FR"/>
        </w:rPr>
        <w:t>-dépression par des stratégies inadaptées.</w:t>
      </w:r>
    </w:p>
    <w:p w14:paraId="48777E61" w14:textId="77777777" w:rsidR="00072050" w:rsidRDefault="001F05B2" w:rsidP="00072050">
      <w:pPr>
        <w:spacing w:after="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br/>
        <w:t xml:space="preserve">• </w:t>
      </w:r>
      <w:proofErr w:type="gramStart"/>
      <w:r w:rsidRPr="001F05B2">
        <w:rPr>
          <w:rFonts w:ascii="Times New Roman" w:eastAsia="Times New Roman" w:hAnsi="Times New Roman" w:cs="Times New Roman"/>
          <w:color w:val="000000"/>
          <w:sz w:val="24"/>
          <w:szCs w:val="24"/>
          <w:lang w:eastAsia="fr-FR"/>
        </w:rPr>
        <w:t>Par contre</w:t>
      </w:r>
      <w:proofErr w:type="gramEnd"/>
      <w:r w:rsidRPr="001F05B2">
        <w:rPr>
          <w:rFonts w:ascii="Times New Roman" w:eastAsia="Times New Roman" w:hAnsi="Times New Roman" w:cs="Times New Roman"/>
          <w:color w:val="000000"/>
          <w:sz w:val="24"/>
          <w:szCs w:val="24"/>
          <w:lang w:eastAsia="fr-FR"/>
        </w:rPr>
        <w:t xml:space="preserve">, les théories psychosomatiques ont suscité des interprétations souvent abusives, en tout cas sans fondement scientifique, faisant d’un conflit </w:t>
      </w:r>
      <w:proofErr w:type="spellStart"/>
      <w:r w:rsidRPr="001F05B2">
        <w:rPr>
          <w:rFonts w:ascii="Times New Roman" w:eastAsia="Times New Roman" w:hAnsi="Times New Roman" w:cs="Times New Roman"/>
          <w:color w:val="000000"/>
          <w:sz w:val="24"/>
          <w:szCs w:val="24"/>
          <w:lang w:eastAsia="fr-FR"/>
        </w:rPr>
        <w:t>intra-psychique</w:t>
      </w:r>
      <w:proofErr w:type="spellEnd"/>
      <w:r w:rsidRPr="001F05B2">
        <w:rPr>
          <w:rFonts w:ascii="Times New Roman" w:eastAsia="Times New Roman" w:hAnsi="Times New Roman" w:cs="Times New Roman"/>
          <w:color w:val="000000"/>
          <w:sz w:val="24"/>
          <w:szCs w:val="24"/>
          <w:lang w:eastAsia="fr-FR"/>
        </w:rPr>
        <w:t xml:space="preserve"> refoulé dans l’inconscient, la cause – ou une des causes – de la maladie somatique. Le fait que les anticorps, marqueurs de l’auto-immunité contre la cellule ß du pancréas, soient retrouvés de nombreuses années avant l’apparition du diabète, a apporté un démenti à bien des hypothèses psycho-pathogéniques hasardeuses. Certains psychiatres analytiques estimaient, à rebours, que la réification de la vie quotidienne des patients diabétiques par les contraintes du traitement entrainait chez eux une réduction de la vie imaginaire et de la fréquence des rêves. Ils étaient, estimaient-ils, moins déprimés qu’</w:t>
      </w:r>
      <w:proofErr w:type="spellStart"/>
      <w:r w:rsidRPr="001F05B2">
        <w:rPr>
          <w:rFonts w:ascii="Times New Roman" w:eastAsia="Times New Roman" w:hAnsi="Times New Roman" w:cs="Times New Roman"/>
          <w:color w:val="000000"/>
          <w:sz w:val="24"/>
          <w:szCs w:val="24"/>
          <w:lang w:eastAsia="fr-FR"/>
        </w:rPr>
        <w:t>alexithymiques</w:t>
      </w:r>
      <w:proofErr w:type="spellEnd"/>
      <w:r w:rsidRPr="001F05B2">
        <w:rPr>
          <w:rFonts w:ascii="Times New Roman" w:eastAsia="Times New Roman" w:hAnsi="Times New Roman" w:cs="Times New Roman"/>
          <w:color w:val="000000"/>
          <w:sz w:val="24"/>
          <w:szCs w:val="24"/>
          <w:lang w:eastAsia="fr-FR"/>
        </w:rPr>
        <w:t xml:space="preserve"> </w:t>
      </w:r>
      <w:proofErr w:type="gramStart"/>
      <w:r w:rsidRPr="001F05B2">
        <w:rPr>
          <w:rFonts w:ascii="Times New Roman" w:eastAsia="Times New Roman" w:hAnsi="Times New Roman" w:cs="Times New Roman"/>
          <w:color w:val="000000"/>
          <w:sz w:val="24"/>
          <w:szCs w:val="24"/>
          <w:lang w:eastAsia="fr-FR"/>
        </w:rPr>
        <w:t>[ 14</w:t>
      </w:r>
      <w:proofErr w:type="gramEnd"/>
      <w:r w:rsidRPr="001F05B2">
        <w:rPr>
          <w:rFonts w:ascii="Times New Roman" w:eastAsia="Times New Roman" w:hAnsi="Times New Roman" w:cs="Times New Roman"/>
          <w:color w:val="000000"/>
          <w:sz w:val="24"/>
          <w:szCs w:val="24"/>
          <w:lang w:eastAsia="fr-FR"/>
        </w:rPr>
        <w:t xml:space="preserve"> , 15 ] et, quand ils étaient déprimés, ils avaient moins tendance au suicide… Ces observations (qu’on aurait pu tout aussi bien appliquer à la vie de la mère de famille au foyer condamnée aux tâches ménagères répétitives) semblent aujourd’hui passées de mode.</w:t>
      </w:r>
    </w:p>
    <w:p w14:paraId="2472D71A" w14:textId="77777777" w:rsidR="00072050" w:rsidRDefault="001F05B2" w:rsidP="00072050">
      <w:pPr>
        <w:spacing w:after="0" w:line="240" w:lineRule="auto"/>
        <w:jc w:val="both"/>
        <w:textAlignment w:val="baseline"/>
        <w:rPr>
          <w:rFonts w:ascii="Times New Roman" w:eastAsia="Times New Roman" w:hAnsi="Times New Roman" w:cs="Times New Roman"/>
          <w:i/>
          <w:iCs/>
          <w:color w:val="000000"/>
          <w:sz w:val="24"/>
          <w:szCs w:val="24"/>
          <w:lang w:eastAsia="fr-FR"/>
        </w:rPr>
      </w:pPr>
      <w:r w:rsidRPr="001F05B2">
        <w:rPr>
          <w:rFonts w:ascii="Times New Roman" w:eastAsia="Times New Roman" w:hAnsi="Times New Roman" w:cs="Times New Roman"/>
          <w:color w:val="000000"/>
          <w:sz w:val="24"/>
          <w:szCs w:val="24"/>
          <w:lang w:eastAsia="fr-FR"/>
        </w:rPr>
        <w:br/>
        <w:t xml:space="preserve">• Les théories psychanalytiques sur les stades de développement de l’enfant se sont, par contre, enrichies (non sans controverse), dans les années 1960-1970, des théories sur l’attachement proposées par John Bowlby (1969) et confortées par les travaux des éthologues </w:t>
      </w:r>
      <w:proofErr w:type="gramStart"/>
      <w:r w:rsidRPr="001F05B2">
        <w:rPr>
          <w:rFonts w:ascii="Times New Roman" w:eastAsia="Times New Roman" w:hAnsi="Times New Roman" w:cs="Times New Roman"/>
          <w:color w:val="000000"/>
          <w:sz w:val="24"/>
          <w:szCs w:val="24"/>
          <w:lang w:eastAsia="fr-FR"/>
        </w:rPr>
        <w:t>[ 16</w:t>
      </w:r>
      <w:proofErr w:type="gramEnd"/>
      <w:r w:rsidRPr="001F05B2">
        <w:rPr>
          <w:rFonts w:ascii="Times New Roman" w:eastAsia="Times New Roman" w:hAnsi="Times New Roman" w:cs="Times New Roman"/>
          <w:color w:val="000000"/>
          <w:sz w:val="24"/>
          <w:szCs w:val="24"/>
          <w:lang w:eastAsia="fr-FR"/>
        </w:rPr>
        <w:t xml:space="preserve"> 17 18 ]. Deux tiers des enfants auraient un attachement « sécure » (l’enfant jouissant d’un sentiment de sécurité explore le monde et retrouve avec plaisir sa mère). Un tiers des enfants auraient un attachement « insécure » (l’enfant s’effondre ou s’agrippe, ou est indifférent lors du départ de sa mère et la retrouve avec colère ou indifférence). L’attachement « sécure » et la construction d’un « self authentique » seraient, pour le pédiatre psychanalyste anglais Donald Winnicott </w:t>
      </w:r>
      <w:proofErr w:type="gramStart"/>
      <w:r w:rsidRPr="001F05B2">
        <w:rPr>
          <w:rFonts w:ascii="Times New Roman" w:eastAsia="Times New Roman" w:hAnsi="Times New Roman" w:cs="Times New Roman"/>
          <w:color w:val="000000"/>
          <w:sz w:val="24"/>
          <w:szCs w:val="24"/>
          <w:lang w:eastAsia="fr-FR"/>
        </w:rPr>
        <w:t>[ 19</w:t>
      </w:r>
      <w:proofErr w:type="gramEnd"/>
      <w:r w:rsidRPr="001F05B2">
        <w:rPr>
          <w:rFonts w:ascii="Times New Roman" w:eastAsia="Times New Roman" w:hAnsi="Times New Roman" w:cs="Times New Roman"/>
          <w:color w:val="000000"/>
          <w:sz w:val="24"/>
          <w:szCs w:val="24"/>
          <w:lang w:eastAsia="fr-FR"/>
        </w:rPr>
        <w:t xml:space="preserve"> , 20 ], le fait de la « mère suffisamment bonne », c’est-à-dire ni mauvaise, ni « trop bonne ». Le style d’attachement forgé dans la petite enfance aurait un rôle déterminant dans la confiance en soi et dans les autres à l’âge adulte, ainsi que dans la capacité d’empathie. Pour Winnicott, le « suffisamment bon médecin » serait celui apte à favoriser avec le patient l’instauration d’un</w:t>
      </w:r>
      <w:r w:rsidRPr="001F05B2">
        <w:rPr>
          <w:rFonts w:ascii="Times New Roman" w:eastAsia="Times New Roman" w:hAnsi="Times New Roman" w:cs="Times New Roman"/>
          <w:i/>
          <w:iCs/>
          <w:color w:val="000000"/>
          <w:sz w:val="24"/>
          <w:szCs w:val="24"/>
          <w:lang w:eastAsia="fr-FR"/>
        </w:rPr>
        <w:t> « jeu d’identifications croisées »</w:t>
      </w:r>
      <w:r w:rsidRPr="001F05B2">
        <w:rPr>
          <w:rFonts w:ascii="Times New Roman" w:eastAsia="Times New Roman" w:hAnsi="Times New Roman" w:cs="Times New Roman"/>
          <w:color w:val="000000"/>
          <w:sz w:val="24"/>
          <w:szCs w:val="24"/>
          <w:lang w:eastAsia="fr-FR"/>
        </w:rPr>
        <w:t> dans une empathie réciproque, car </w:t>
      </w:r>
      <w:r w:rsidRPr="001F05B2">
        <w:rPr>
          <w:rFonts w:ascii="Times New Roman" w:eastAsia="Times New Roman" w:hAnsi="Times New Roman" w:cs="Times New Roman"/>
          <w:i/>
          <w:iCs/>
          <w:color w:val="000000"/>
          <w:sz w:val="24"/>
          <w:szCs w:val="24"/>
          <w:lang w:eastAsia="fr-FR"/>
        </w:rPr>
        <w:t xml:space="preserve">« c’est un signe de santé d’esprit que de pouvoir pénétrer en imagination avec exactitude dans les pensées, les sentiments, les espoirs et les peurs de quelqu’un d’autre ; mais aussi de permettre à cet autre </w:t>
      </w:r>
    </w:p>
    <w:p w14:paraId="3C2AD72B" w14:textId="77777777" w:rsidR="00072050" w:rsidRDefault="00072050" w:rsidP="00072050">
      <w:pPr>
        <w:spacing w:after="0" w:line="240" w:lineRule="auto"/>
        <w:jc w:val="both"/>
        <w:textAlignment w:val="baseline"/>
        <w:rPr>
          <w:rFonts w:ascii="Times New Roman" w:eastAsia="Times New Roman" w:hAnsi="Times New Roman" w:cs="Times New Roman"/>
          <w:i/>
          <w:iCs/>
          <w:color w:val="000000"/>
          <w:sz w:val="24"/>
          <w:szCs w:val="24"/>
          <w:lang w:eastAsia="fr-FR"/>
        </w:rPr>
      </w:pPr>
    </w:p>
    <w:p w14:paraId="1284525E" w14:textId="77777777" w:rsidR="00072050" w:rsidRDefault="00072050" w:rsidP="00072050">
      <w:pPr>
        <w:spacing w:after="0" w:line="240" w:lineRule="auto"/>
        <w:jc w:val="both"/>
        <w:textAlignment w:val="baseline"/>
        <w:rPr>
          <w:rFonts w:ascii="Times New Roman" w:eastAsia="Times New Roman" w:hAnsi="Times New Roman" w:cs="Times New Roman"/>
          <w:i/>
          <w:iCs/>
          <w:color w:val="000000"/>
          <w:sz w:val="24"/>
          <w:szCs w:val="24"/>
          <w:lang w:eastAsia="fr-FR"/>
        </w:rPr>
      </w:pPr>
    </w:p>
    <w:p w14:paraId="54ABA3BD" w14:textId="77777777" w:rsidR="00072050" w:rsidRDefault="00072050" w:rsidP="00072050">
      <w:pPr>
        <w:spacing w:after="0" w:line="240" w:lineRule="auto"/>
        <w:jc w:val="both"/>
        <w:textAlignment w:val="baseline"/>
        <w:rPr>
          <w:rFonts w:ascii="Times New Roman" w:eastAsia="Times New Roman" w:hAnsi="Times New Roman" w:cs="Times New Roman"/>
          <w:i/>
          <w:iCs/>
          <w:color w:val="000000"/>
          <w:sz w:val="24"/>
          <w:szCs w:val="24"/>
          <w:lang w:eastAsia="fr-FR"/>
        </w:rPr>
      </w:pPr>
    </w:p>
    <w:p w14:paraId="277B7486" w14:textId="77777777" w:rsidR="00072050" w:rsidRDefault="001F05B2" w:rsidP="00072050">
      <w:pPr>
        <w:spacing w:after="0" w:line="240" w:lineRule="auto"/>
        <w:jc w:val="both"/>
        <w:textAlignment w:val="baseline"/>
        <w:rPr>
          <w:rFonts w:ascii="Times New Roman" w:eastAsia="Times New Roman" w:hAnsi="Times New Roman" w:cs="Times New Roman"/>
          <w:color w:val="000000"/>
          <w:sz w:val="24"/>
          <w:szCs w:val="24"/>
          <w:lang w:eastAsia="fr-FR"/>
        </w:rPr>
      </w:pPr>
      <w:proofErr w:type="gramStart"/>
      <w:r w:rsidRPr="001F05B2">
        <w:rPr>
          <w:rFonts w:ascii="Times New Roman" w:eastAsia="Times New Roman" w:hAnsi="Times New Roman" w:cs="Times New Roman"/>
          <w:i/>
          <w:iCs/>
          <w:color w:val="000000"/>
          <w:sz w:val="24"/>
          <w:szCs w:val="24"/>
          <w:lang w:eastAsia="fr-FR"/>
        </w:rPr>
        <w:t>de</w:t>
      </w:r>
      <w:proofErr w:type="gramEnd"/>
      <w:r w:rsidRPr="001F05B2">
        <w:rPr>
          <w:rFonts w:ascii="Times New Roman" w:eastAsia="Times New Roman" w:hAnsi="Times New Roman" w:cs="Times New Roman"/>
          <w:i/>
          <w:iCs/>
          <w:color w:val="000000"/>
          <w:sz w:val="24"/>
          <w:szCs w:val="24"/>
          <w:lang w:eastAsia="fr-FR"/>
        </w:rPr>
        <w:t xml:space="preserve"> procéder pareillement avec nous »</w:t>
      </w:r>
      <w:r w:rsidRPr="001F05B2">
        <w:rPr>
          <w:rFonts w:ascii="Times New Roman" w:eastAsia="Times New Roman" w:hAnsi="Times New Roman" w:cs="Times New Roman"/>
          <w:color w:val="000000"/>
          <w:sz w:val="24"/>
          <w:szCs w:val="24"/>
          <w:lang w:eastAsia="fr-FR"/>
        </w:rPr>
        <w:t>. Le bon médecin est celui qui pratique à la fois le</w:t>
      </w:r>
      <w:r w:rsidRPr="001F05B2">
        <w:rPr>
          <w:rFonts w:ascii="Times New Roman" w:eastAsia="Times New Roman" w:hAnsi="Times New Roman" w:cs="Times New Roman"/>
          <w:i/>
          <w:iCs/>
          <w:color w:val="000000"/>
          <w:sz w:val="24"/>
          <w:szCs w:val="24"/>
          <w:lang w:eastAsia="fr-FR"/>
        </w:rPr>
        <w:t> « cure »</w:t>
      </w:r>
      <w:r w:rsidRPr="001F05B2">
        <w:rPr>
          <w:rFonts w:ascii="Times New Roman" w:eastAsia="Times New Roman" w:hAnsi="Times New Roman" w:cs="Times New Roman"/>
          <w:color w:val="000000"/>
          <w:sz w:val="24"/>
          <w:szCs w:val="24"/>
          <w:lang w:eastAsia="fr-FR"/>
        </w:rPr>
        <w:t> et le </w:t>
      </w:r>
      <w:r w:rsidRPr="001F05B2">
        <w:rPr>
          <w:rFonts w:ascii="Times New Roman" w:eastAsia="Times New Roman" w:hAnsi="Times New Roman" w:cs="Times New Roman"/>
          <w:i/>
          <w:iCs/>
          <w:color w:val="000000"/>
          <w:sz w:val="24"/>
          <w:szCs w:val="24"/>
          <w:lang w:eastAsia="fr-FR"/>
        </w:rPr>
        <w:t>« care »</w:t>
      </w:r>
      <w:r w:rsidRPr="001F05B2">
        <w:rPr>
          <w:rFonts w:ascii="Times New Roman" w:eastAsia="Times New Roman" w:hAnsi="Times New Roman" w:cs="Times New Roman"/>
          <w:color w:val="000000"/>
          <w:sz w:val="24"/>
          <w:szCs w:val="24"/>
          <w:lang w:eastAsia="fr-FR"/>
        </w:rPr>
        <w:t xml:space="preserve">, celui qui soigne et qui prend soin. Ces réflexions, datant de 1970, se sont prolongées par les travaux plus récents de Boris Cyrulnik sur la résilience </w:t>
      </w:r>
      <w:proofErr w:type="gramStart"/>
      <w:r w:rsidRPr="001F05B2">
        <w:rPr>
          <w:rFonts w:ascii="Times New Roman" w:eastAsia="Times New Roman" w:hAnsi="Times New Roman" w:cs="Times New Roman"/>
          <w:color w:val="000000"/>
          <w:sz w:val="24"/>
          <w:szCs w:val="24"/>
          <w:lang w:eastAsia="fr-FR"/>
        </w:rPr>
        <w:t>[ 21</w:t>
      </w:r>
      <w:proofErr w:type="gramEnd"/>
      <w:r w:rsidRPr="001F05B2">
        <w:rPr>
          <w:rFonts w:ascii="Times New Roman" w:eastAsia="Times New Roman" w:hAnsi="Times New Roman" w:cs="Times New Roman"/>
          <w:color w:val="000000"/>
          <w:sz w:val="24"/>
          <w:szCs w:val="24"/>
          <w:lang w:eastAsia="fr-FR"/>
        </w:rPr>
        <w:t xml:space="preserve"> , 22 ], et de Serge Tisseron sur l’empathie [ 23 ]. Une question reste posée : est-ce que pour être un bon médecin pour le suivi des patients atteints de maladies chronique, il vaut mieux avoir soi-même bénéficié d’un attachement « sécure » dans la petite enfance, ou le contraire ? Question pertinente ? En tout cas, les concepteurs du mode de sélection actuel des étudiants en médecine à l’entrée des études, ne semblent pas se l’être posée !</w:t>
      </w:r>
    </w:p>
    <w:p w14:paraId="0503E349" w14:textId="77777777" w:rsidR="00072050" w:rsidRDefault="001F05B2" w:rsidP="00072050">
      <w:pPr>
        <w:spacing w:after="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br/>
        <w:t xml:space="preserve">• Dans les années 1970, l’approche </w:t>
      </w:r>
      <w:proofErr w:type="spellStart"/>
      <w:r w:rsidRPr="001F05B2">
        <w:rPr>
          <w:rFonts w:ascii="Times New Roman" w:eastAsia="Times New Roman" w:hAnsi="Times New Roman" w:cs="Times New Roman"/>
          <w:color w:val="000000"/>
          <w:sz w:val="24"/>
          <w:szCs w:val="24"/>
          <w:lang w:eastAsia="fr-FR"/>
        </w:rPr>
        <w:t>cognitivo</w:t>
      </w:r>
      <w:proofErr w:type="spellEnd"/>
      <w:r w:rsidRPr="001F05B2">
        <w:rPr>
          <w:rFonts w:ascii="Times New Roman" w:eastAsia="Times New Roman" w:hAnsi="Times New Roman" w:cs="Times New Roman"/>
          <w:color w:val="000000"/>
          <w:sz w:val="24"/>
          <w:szCs w:val="24"/>
          <w:lang w:eastAsia="fr-FR"/>
        </w:rPr>
        <w:t xml:space="preserve">-comportementale a heureusement tourné le dos aux théories psychosomatiques faisant du conflit </w:t>
      </w:r>
      <w:proofErr w:type="spellStart"/>
      <w:r w:rsidRPr="001F05B2">
        <w:rPr>
          <w:rFonts w:ascii="Times New Roman" w:eastAsia="Times New Roman" w:hAnsi="Times New Roman" w:cs="Times New Roman"/>
          <w:color w:val="000000"/>
          <w:sz w:val="24"/>
          <w:szCs w:val="24"/>
          <w:lang w:eastAsia="fr-FR"/>
        </w:rPr>
        <w:t>intra-psychique</w:t>
      </w:r>
      <w:proofErr w:type="spellEnd"/>
      <w:r w:rsidRPr="001F05B2">
        <w:rPr>
          <w:rFonts w:ascii="Times New Roman" w:eastAsia="Times New Roman" w:hAnsi="Times New Roman" w:cs="Times New Roman"/>
          <w:color w:val="000000"/>
          <w:sz w:val="24"/>
          <w:szCs w:val="24"/>
          <w:lang w:eastAsia="fr-FR"/>
        </w:rPr>
        <w:t xml:space="preserve"> non résolu la cause des maladies somatiques, pour observer les comportements en réponse aux divers stimuli et analyser leurs déterminants cognitifs et émotionnels </w:t>
      </w:r>
      <w:proofErr w:type="gramStart"/>
      <w:r w:rsidRPr="001F05B2">
        <w:rPr>
          <w:rFonts w:ascii="Times New Roman" w:eastAsia="Times New Roman" w:hAnsi="Times New Roman" w:cs="Times New Roman"/>
          <w:color w:val="000000"/>
          <w:sz w:val="24"/>
          <w:szCs w:val="24"/>
          <w:lang w:eastAsia="fr-FR"/>
        </w:rPr>
        <w:t>[ 24</w:t>
      </w:r>
      <w:proofErr w:type="gramEnd"/>
      <w:r w:rsidRPr="001F05B2">
        <w:rPr>
          <w:rFonts w:ascii="Times New Roman" w:eastAsia="Times New Roman" w:hAnsi="Times New Roman" w:cs="Times New Roman"/>
          <w:color w:val="000000"/>
          <w:sz w:val="24"/>
          <w:szCs w:val="24"/>
          <w:lang w:eastAsia="fr-FR"/>
        </w:rPr>
        <w:t xml:space="preserve"> ]. Cette approche se veut scientifique, reposant sur l’expérimentation, l’évaluation quantitative, la reproductibilité des résultats et l’efficacité thérapeutique, grâce à des réaménagements cognitifs et à des mécanismes béhavioristes de renforcement positif. Les comportementalistes modernes prennent en compte les affects et certains aspects corporels, comme la respiration ou le tonus musculaire utilisés par les techniques corporelles de relaxation. Des procédures ont été élaborées pour apprendre à modifier ses croyances, ses interprétations abusives, son langage intérieur, son ressenti physique, son auto-évaluation. La psychologie </w:t>
      </w:r>
      <w:proofErr w:type="spellStart"/>
      <w:r w:rsidRPr="001F05B2">
        <w:rPr>
          <w:rFonts w:ascii="Times New Roman" w:eastAsia="Times New Roman" w:hAnsi="Times New Roman" w:cs="Times New Roman"/>
          <w:color w:val="000000"/>
          <w:sz w:val="24"/>
          <w:szCs w:val="24"/>
          <w:lang w:eastAsia="fr-FR"/>
        </w:rPr>
        <w:t>cognitivo</w:t>
      </w:r>
      <w:proofErr w:type="spellEnd"/>
      <w:r w:rsidRPr="001F05B2">
        <w:rPr>
          <w:rFonts w:ascii="Times New Roman" w:eastAsia="Times New Roman" w:hAnsi="Times New Roman" w:cs="Times New Roman"/>
          <w:color w:val="000000"/>
          <w:sz w:val="24"/>
          <w:szCs w:val="24"/>
          <w:lang w:eastAsia="fr-FR"/>
        </w:rPr>
        <w:t xml:space="preserve">-comportementale a fortement inspiré la psychologie de la santé </w:t>
      </w:r>
      <w:proofErr w:type="gramStart"/>
      <w:r w:rsidRPr="001F05B2">
        <w:rPr>
          <w:rFonts w:ascii="Times New Roman" w:eastAsia="Times New Roman" w:hAnsi="Times New Roman" w:cs="Times New Roman"/>
          <w:color w:val="000000"/>
          <w:sz w:val="24"/>
          <w:szCs w:val="24"/>
          <w:lang w:eastAsia="fr-FR"/>
        </w:rPr>
        <w:t>[ 25</w:t>
      </w:r>
      <w:proofErr w:type="gramEnd"/>
      <w:r w:rsidRPr="001F05B2">
        <w:rPr>
          <w:rFonts w:ascii="Times New Roman" w:eastAsia="Times New Roman" w:hAnsi="Times New Roman" w:cs="Times New Roman"/>
          <w:color w:val="000000"/>
          <w:sz w:val="24"/>
          <w:szCs w:val="24"/>
          <w:lang w:eastAsia="fr-FR"/>
        </w:rPr>
        <w:t xml:space="preserve"> ]. Celle-ci rassemble de nombreux modèles et concepts qui ont l’avantage de permettre des approches quantitatives et des évaluations mesurables, pouvant en conséquence se rapprocher de l’EBM. Toutefois, ces différents modèles ont l’inconvénient d’une approche fragmentaire, réductrice. Effaçant délibérément toute problématique de transfert, ils réduisent la subjectivité de la relation entre soignant et soigné, et laissent peu de place à la médecine narrative. </w:t>
      </w:r>
      <w:r w:rsidRPr="001F05B2">
        <w:rPr>
          <w:rFonts w:ascii="Times New Roman" w:eastAsia="Times New Roman" w:hAnsi="Times New Roman" w:cs="Times New Roman"/>
          <w:i/>
          <w:iCs/>
          <w:color w:val="000000"/>
          <w:sz w:val="24"/>
          <w:szCs w:val="24"/>
          <w:lang w:eastAsia="fr-FR"/>
        </w:rPr>
        <w:t>« La personne qui consulte est considérée comme un client qui rétribue un expert en psychologie pour l’aider à changer plutôt que comme un patient »</w:t>
      </w:r>
      <w:r w:rsidRPr="001F05B2">
        <w:rPr>
          <w:rFonts w:ascii="Times New Roman" w:eastAsia="Times New Roman" w:hAnsi="Times New Roman" w:cs="Times New Roman"/>
          <w:color w:val="000000"/>
          <w:sz w:val="24"/>
          <w:szCs w:val="24"/>
          <w:lang w:eastAsia="fr-FR"/>
        </w:rPr>
        <w:t xml:space="preserve"> (Jacques Van Rillaer) </w:t>
      </w:r>
      <w:proofErr w:type="gramStart"/>
      <w:r w:rsidRPr="001F05B2">
        <w:rPr>
          <w:rFonts w:ascii="Times New Roman" w:eastAsia="Times New Roman" w:hAnsi="Times New Roman" w:cs="Times New Roman"/>
          <w:color w:val="000000"/>
          <w:sz w:val="24"/>
          <w:szCs w:val="24"/>
          <w:lang w:eastAsia="fr-FR"/>
        </w:rPr>
        <w:t>[ 26</w:t>
      </w:r>
      <w:proofErr w:type="gramEnd"/>
      <w:r w:rsidRPr="001F05B2">
        <w:rPr>
          <w:rFonts w:ascii="Times New Roman" w:eastAsia="Times New Roman" w:hAnsi="Times New Roman" w:cs="Times New Roman"/>
          <w:color w:val="000000"/>
          <w:sz w:val="24"/>
          <w:szCs w:val="24"/>
          <w:lang w:eastAsia="fr-FR"/>
        </w:rPr>
        <w:t xml:space="preserve"> ]. Le souhait d’une démarche holistique conduit à la multiplication de questionnaires et de tests. On peut citer le </w:t>
      </w:r>
      <w:proofErr w:type="spellStart"/>
      <w:r w:rsidRPr="001F05B2">
        <w:rPr>
          <w:rFonts w:ascii="Times New Roman" w:eastAsia="Times New Roman" w:hAnsi="Times New Roman" w:cs="Times New Roman"/>
          <w:i/>
          <w:iCs/>
          <w:color w:val="000000"/>
          <w:sz w:val="24"/>
          <w:szCs w:val="24"/>
          <w:lang w:eastAsia="fr-FR"/>
        </w:rPr>
        <w:t>Health</w:t>
      </w:r>
      <w:proofErr w:type="spellEnd"/>
      <w:r w:rsidRPr="001F05B2">
        <w:rPr>
          <w:rFonts w:ascii="Times New Roman" w:eastAsia="Times New Roman" w:hAnsi="Times New Roman" w:cs="Times New Roman"/>
          <w:i/>
          <w:iCs/>
          <w:color w:val="000000"/>
          <w:sz w:val="24"/>
          <w:szCs w:val="24"/>
          <w:lang w:eastAsia="fr-FR"/>
        </w:rPr>
        <w:t xml:space="preserve"> </w:t>
      </w:r>
      <w:proofErr w:type="spellStart"/>
      <w:r w:rsidRPr="001F05B2">
        <w:rPr>
          <w:rFonts w:ascii="Times New Roman" w:eastAsia="Times New Roman" w:hAnsi="Times New Roman" w:cs="Times New Roman"/>
          <w:i/>
          <w:iCs/>
          <w:color w:val="000000"/>
          <w:sz w:val="24"/>
          <w:szCs w:val="24"/>
          <w:lang w:eastAsia="fr-FR"/>
        </w:rPr>
        <w:t>belief</w:t>
      </w:r>
      <w:proofErr w:type="spellEnd"/>
      <w:r w:rsidRPr="001F05B2">
        <w:rPr>
          <w:rFonts w:ascii="Times New Roman" w:eastAsia="Times New Roman" w:hAnsi="Times New Roman" w:cs="Times New Roman"/>
          <w:color w:val="000000"/>
          <w:sz w:val="24"/>
          <w:szCs w:val="24"/>
          <w:lang w:eastAsia="fr-FR"/>
        </w:rPr>
        <w:t xml:space="preserve"> model de </w:t>
      </w:r>
      <w:proofErr w:type="spellStart"/>
      <w:r w:rsidRPr="001F05B2">
        <w:rPr>
          <w:rFonts w:ascii="Times New Roman" w:eastAsia="Times New Roman" w:hAnsi="Times New Roman" w:cs="Times New Roman"/>
          <w:color w:val="000000"/>
          <w:sz w:val="24"/>
          <w:szCs w:val="24"/>
          <w:lang w:eastAsia="fr-FR"/>
        </w:rPr>
        <w:t>Rosenstock</w:t>
      </w:r>
      <w:proofErr w:type="spellEnd"/>
      <w:r w:rsidRPr="001F05B2">
        <w:rPr>
          <w:rFonts w:ascii="Times New Roman" w:eastAsia="Times New Roman" w:hAnsi="Times New Roman" w:cs="Times New Roman"/>
          <w:color w:val="000000"/>
          <w:sz w:val="24"/>
          <w:szCs w:val="24"/>
          <w:lang w:eastAsia="fr-FR"/>
        </w:rPr>
        <w:t xml:space="preserve"> (1966-1974) </w:t>
      </w:r>
      <w:proofErr w:type="gramStart"/>
      <w:r w:rsidRPr="001F05B2">
        <w:rPr>
          <w:rFonts w:ascii="Times New Roman" w:eastAsia="Times New Roman" w:hAnsi="Times New Roman" w:cs="Times New Roman"/>
          <w:color w:val="000000"/>
          <w:sz w:val="24"/>
          <w:szCs w:val="24"/>
          <w:lang w:eastAsia="fr-FR"/>
        </w:rPr>
        <w:t>[ 27</w:t>
      </w:r>
      <w:proofErr w:type="gramEnd"/>
      <w:r w:rsidRPr="001F05B2">
        <w:rPr>
          <w:rFonts w:ascii="Times New Roman" w:eastAsia="Times New Roman" w:hAnsi="Times New Roman" w:cs="Times New Roman"/>
          <w:color w:val="000000"/>
          <w:sz w:val="24"/>
          <w:szCs w:val="24"/>
          <w:lang w:eastAsia="fr-FR"/>
        </w:rPr>
        <w:t xml:space="preserve"> ], l’auto-efficacité perçue de Bandura (1977) [ 28 ], le locus de contrôle interne/externe de Rotter (1966-1975) [ 29 ], les stratégies d’ajustement, ou coping , centré sur le problème ou centré sur les émotions (Lazarus et Folkman, 1984) [ 30 ], le modèle « </w:t>
      </w:r>
      <w:proofErr w:type="spellStart"/>
      <w:r w:rsidRPr="001F05B2">
        <w:rPr>
          <w:rFonts w:ascii="Times New Roman" w:eastAsia="Times New Roman" w:hAnsi="Times New Roman" w:cs="Times New Roman"/>
          <w:color w:val="000000"/>
          <w:sz w:val="24"/>
          <w:szCs w:val="24"/>
          <w:lang w:eastAsia="fr-FR"/>
        </w:rPr>
        <w:t>transthéorique</w:t>
      </w:r>
      <w:proofErr w:type="spellEnd"/>
      <w:r w:rsidRPr="001F05B2">
        <w:rPr>
          <w:rFonts w:ascii="Times New Roman" w:eastAsia="Times New Roman" w:hAnsi="Times New Roman" w:cs="Times New Roman"/>
          <w:color w:val="000000"/>
          <w:sz w:val="24"/>
          <w:szCs w:val="24"/>
          <w:lang w:eastAsia="fr-FR"/>
        </w:rPr>
        <w:t xml:space="preserve"> » de </w:t>
      </w:r>
      <w:proofErr w:type="spellStart"/>
      <w:r w:rsidRPr="001F05B2">
        <w:rPr>
          <w:rFonts w:ascii="Times New Roman" w:eastAsia="Times New Roman" w:hAnsi="Times New Roman" w:cs="Times New Roman"/>
          <w:color w:val="000000"/>
          <w:sz w:val="24"/>
          <w:szCs w:val="24"/>
          <w:lang w:eastAsia="fr-FR"/>
        </w:rPr>
        <w:t>Prochaska</w:t>
      </w:r>
      <w:proofErr w:type="spellEnd"/>
      <w:r w:rsidRPr="001F05B2">
        <w:rPr>
          <w:rFonts w:ascii="Times New Roman" w:eastAsia="Times New Roman" w:hAnsi="Times New Roman" w:cs="Times New Roman"/>
          <w:color w:val="000000"/>
          <w:sz w:val="24"/>
          <w:szCs w:val="24"/>
          <w:lang w:eastAsia="fr-FR"/>
        </w:rPr>
        <w:t xml:space="preserve"> et </w:t>
      </w:r>
      <w:proofErr w:type="spellStart"/>
      <w:r w:rsidRPr="001F05B2">
        <w:rPr>
          <w:rFonts w:ascii="Times New Roman" w:eastAsia="Times New Roman" w:hAnsi="Times New Roman" w:cs="Times New Roman"/>
          <w:color w:val="000000"/>
          <w:sz w:val="24"/>
          <w:szCs w:val="24"/>
          <w:lang w:eastAsia="fr-FR"/>
        </w:rPr>
        <w:t>DiClemente</w:t>
      </w:r>
      <w:proofErr w:type="spellEnd"/>
      <w:r w:rsidRPr="001F05B2">
        <w:rPr>
          <w:rFonts w:ascii="Times New Roman" w:eastAsia="Times New Roman" w:hAnsi="Times New Roman" w:cs="Times New Roman"/>
          <w:color w:val="000000"/>
          <w:sz w:val="24"/>
          <w:szCs w:val="24"/>
          <w:lang w:eastAsia="fr-FR"/>
        </w:rPr>
        <w:t xml:space="preserve"> (1992) [ 31 ] utilisé, notamment, dans l’aide au sevrage tabagique,… Tous ces modèles sont aujourd’hui enseignés, et ont permis d’améliorer les pratiques des soignants en les amenant à se « centrer sur le patient », et pas uniquement sur la maladie.</w:t>
      </w:r>
      <w:r w:rsidRPr="001F05B2">
        <w:rPr>
          <w:rFonts w:ascii="Times New Roman" w:eastAsia="Times New Roman" w:hAnsi="Times New Roman" w:cs="Times New Roman"/>
          <w:color w:val="000000"/>
          <w:sz w:val="24"/>
          <w:szCs w:val="24"/>
          <w:lang w:eastAsia="fr-FR"/>
        </w:rPr>
        <w:br/>
        <w:t xml:space="preserve">• La psychologie </w:t>
      </w:r>
      <w:proofErr w:type="spellStart"/>
      <w:r w:rsidRPr="001F05B2">
        <w:rPr>
          <w:rFonts w:ascii="Times New Roman" w:eastAsia="Times New Roman" w:hAnsi="Times New Roman" w:cs="Times New Roman"/>
          <w:color w:val="000000"/>
          <w:sz w:val="24"/>
          <w:szCs w:val="24"/>
          <w:lang w:eastAsia="fr-FR"/>
        </w:rPr>
        <w:t>cognitivo</w:t>
      </w:r>
      <w:proofErr w:type="spellEnd"/>
      <w:r w:rsidRPr="001F05B2">
        <w:rPr>
          <w:rFonts w:ascii="Times New Roman" w:eastAsia="Times New Roman" w:hAnsi="Times New Roman" w:cs="Times New Roman"/>
          <w:color w:val="000000"/>
          <w:sz w:val="24"/>
          <w:szCs w:val="24"/>
          <w:lang w:eastAsia="fr-FR"/>
        </w:rPr>
        <w:t xml:space="preserve">-comportementale a également conduit à définir différents types de personnalités à l’aide de questionnaires. Qu’il s’agisse de reconnaître quatre types de personnalités </w:t>
      </w:r>
      <w:proofErr w:type="gramStart"/>
      <w:r w:rsidRPr="001F05B2">
        <w:rPr>
          <w:rFonts w:ascii="Times New Roman" w:eastAsia="Times New Roman" w:hAnsi="Times New Roman" w:cs="Times New Roman"/>
          <w:color w:val="000000"/>
          <w:sz w:val="24"/>
          <w:szCs w:val="24"/>
          <w:lang w:eastAsia="fr-FR"/>
        </w:rPr>
        <w:t>( </w:t>
      </w:r>
      <w:r w:rsidRPr="001F05B2">
        <w:rPr>
          <w:rFonts w:ascii="Times New Roman" w:eastAsia="Times New Roman" w:hAnsi="Times New Roman" w:cs="Times New Roman"/>
          <w:i/>
          <w:iCs/>
          <w:color w:val="000000"/>
          <w:sz w:val="24"/>
          <w:szCs w:val="24"/>
          <w:lang w:eastAsia="fr-FR"/>
        </w:rPr>
        <w:t>Test</w:t>
      </w:r>
      <w:proofErr w:type="gramEnd"/>
      <w:r w:rsidRPr="001F05B2">
        <w:rPr>
          <w:rFonts w:ascii="Times New Roman" w:eastAsia="Times New Roman" w:hAnsi="Times New Roman" w:cs="Times New Roman"/>
          <w:i/>
          <w:iCs/>
          <w:color w:val="000000"/>
          <w:sz w:val="24"/>
          <w:szCs w:val="24"/>
          <w:lang w:eastAsia="fr-FR"/>
        </w:rPr>
        <w:t xml:space="preserve"> </w:t>
      </w:r>
      <w:proofErr w:type="spellStart"/>
      <w:r w:rsidRPr="001F05B2">
        <w:rPr>
          <w:rFonts w:ascii="Times New Roman" w:eastAsia="Times New Roman" w:hAnsi="Times New Roman" w:cs="Times New Roman"/>
          <w:i/>
          <w:iCs/>
          <w:color w:val="000000"/>
          <w:sz w:val="24"/>
          <w:szCs w:val="24"/>
          <w:lang w:eastAsia="fr-FR"/>
        </w:rPr>
        <w:t>Personna</w:t>
      </w:r>
      <w:proofErr w:type="spellEnd"/>
      <w:r w:rsidRPr="001F05B2">
        <w:rPr>
          <w:rFonts w:ascii="Times New Roman" w:eastAsia="Times New Roman" w:hAnsi="Times New Roman" w:cs="Times New Roman"/>
          <w:color w:val="000000"/>
          <w:sz w:val="24"/>
          <w:szCs w:val="24"/>
          <w:lang w:eastAsia="fr-FR"/>
        </w:rPr>
        <w:t> ) [ 32 ], ou six (</w:t>
      </w:r>
      <w:r w:rsidRPr="001F05B2">
        <w:rPr>
          <w:rFonts w:ascii="Times New Roman" w:eastAsia="Times New Roman" w:hAnsi="Times New Roman" w:cs="Times New Roman"/>
          <w:i/>
          <w:iCs/>
          <w:color w:val="000000"/>
          <w:sz w:val="24"/>
          <w:szCs w:val="24"/>
          <w:lang w:eastAsia="fr-FR"/>
        </w:rPr>
        <w:t> Process Com</w:t>
      </w:r>
      <w:r w:rsidRPr="001F05B2">
        <w:rPr>
          <w:rFonts w:ascii="Times New Roman" w:eastAsia="Times New Roman" w:hAnsi="Times New Roman" w:cs="Times New Roman"/>
          <w:color w:val="000000"/>
          <w:sz w:val="24"/>
          <w:szCs w:val="24"/>
          <w:lang w:eastAsia="fr-FR"/>
        </w:rPr>
        <w:t xml:space="preserve"> ) [ 33 ], ou huit (Jacques </w:t>
      </w:r>
      <w:proofErr w:type="spellStart"/>
      <w:r w:rsidRPr="001F05B2">
        <w:rPr>
          <w:rFonts w:ascii="Times New Roman" w:eastAsia="Times New Roman" w:hAnsi="Times New Roman" w:cs="Times New Roman"/>
          <w:color w:val="000000"/>
          <w:sz w:val="24"/>
          <w:szCs w:val="24"/>
          <w:lang w:eastAsia="fr-FR"/>
        </w:rPr>
        <w:t>Fradin</w:t>
      </w:r>
      <w:proofErr w:type="spellEnd"/>
      <w:r w:rsidRPr="001F05B2">
        <w:rPr>
          <w:rFonts w:ascii="Times New Roman" w:eastAsia="Times New Roman" w:hAnsi="Times New Roman" w:cs="Times New Roman"/>
          <w:color w:val="000000"/>
          <w:sz w:val="24"/>
          <w:szCs w:val="24"/>
          <w:lang w:eastAsia="fr-FR"/>
        </w:rPr>
        <w:t xml:space="preserve"> et Frédéric Le </w:t>
      </w:r>
      <w:proofErr w:type="spellStart"/>
      <w:r w:rsidRPr="001F05B2">
        <w:rPr>
          <w:rFonts w:ascii="Times New Roman" w:eastAsia="Times New Roman" w:hAnsi="Times New Roman" w:cs="Times New Roman"/>
          <w:color w:val="000000"/>
          <w:sz w:val="24"/>
          <w:szCs w:val="24"/>
          <w:lang w:eastAsia="fr-FR"/>
        </w:rPr>
        <w:t>Moullec</w:t>
      </w:r>
      <w:proofErr w:type="spellEnd"/>
      <w:r w:rsidRPr="001F05B2">
        <w:rPr>
          <w:rFonts w:ascii="Times New Roman" w:eastAsia="Times New Roman" w:hAnsi="Times New Roman" w:cs="Times New Roman"/>
          <w:color w:val="000000"/>
          <w:sz w:val="24"/>
          <w:szCs w:val="24"/>
          <w:lang w:eastAsia="fr-FR"/>
        </w:rPr>
        <w:t xml:space="preserve">) [ 34 ], ces classifications, forcément très réductrices, ont néanmoins l’intérêt de faciliter une démarche empathique en aidant à comprendre comment l’autre « fonctionne » ; elles ont, par contre, l’énorme défaut de limiter l’empathie à son versant purement cognitif, facilitant l’emprise, voire la manipulation. Façon détournée pour les médecins de retrouver leur pouvoir perdu, et tentation d’autant plus grande que, si manipulation il y a, elle est toujours effectuée « pour le bien du malade » ! De même, l’entretien motivationnel </w:t>
      </w:r>
      <w:proofErr w:type="gramStart"/>
      <w:r w:rsidRPr="001F05B2">
        <w:rPr>
          <w:rFonts w:ascii="Times New Roman" w:eastAsia="Times New Roman" w:hAnsi="Times New Roman" w:cs="Times New Roman"/>
          <w:color w:val="000000"/>
          <w:sz w:val="24"/>
          <w:szCs w:val="24"/>
          <w:lang w:eastAsia="fr-FR"/>
        </w:rPr>
        <w:t>[ 35</w:t>
      </w:r>
      <w:proofErr w:type="gramEnd"/>
      <w:r w:rsidRPr="001F05B2">
        <w:rPr>
          <w:rFonts w:ascii="Times New Roman" w:eastAsia="Times New Roman" w:hAnsi="Times New Roman" w:cs="Times New Roman"/>
          <w:color w:val="000000"/>
          <w:sz w:val="24"/>
          <w:szCs w:val="24"/>
          <w:lang w:eastAsia="fr-FR"/>
        </w:rPr>
        <w:t xml:space="preserve"> ] comporte des conseils bien venus : éviter le « réflexe correcteur », écouter plutôt qu’expliquer, suivre plutôt que diriger, aider le patient à exprimer son ambivalence plutôt que chercher à le convaincre, rouler avec la résistance (pour aller contre) sans l’affronter au risque de provoquer </w:t>
      </w:r>
    </w:p>
    <w:p w14:paraId="1E2FB660" w14:textId="77777777" w:rsidR="00072050" w:rsidRDefault="00072050" w:rsidP="00072050">
      <w:pPr>
        <w:spacing w:after="0" w:line="240" w:lineRule="auto"/>
        <w:jc w:val="both"/>
        <w:textAlignment w:val="baseline"/>
        <w:rPr>
          <w:rFonts w:ascii="Times New Roman" w:eastAsia="Times New Roman" w:hAnsi="Times New Roman" w:cs="Times New Roman"/>
          <w:color w:val="000000"/>
          <w:sz w:val="24"/>
          <w:szCs w:val="24"/>
          <w:lang w:eastAsia="fr-FR"/>
        </w:rPr>
      </w:pPr>
    </w:p>
    <w:p w14:paraId="31C10A15" w14:textId="77777777" w:rsidR="00072050" w:rsidRDefault="00072050" w:rsidP="00072050">
      <w:pPr>
        <w:spacing w:after="0" w:line="240" w:lineRule="auto"/>
        <w:jc w:val="both"/>
        <w:textAlignment w:val="baseline"/>
        <w:rPr>
          <w:rFonts w:ascii="Times New Roman" w:eastAsia="Times New Roman" w:hAnsi="Times New Roman" w:cs="Times New Roman"/>
          <w:color w:val="000000"/>
          <w:sz w:val="24"/>
          <w:szCs w:val="24"/>
          <w:lang w:eastAsia="fr-FR"/>
        </w:rPr>
      </w:pPr>
    </w:p>
    <w:p w14:paraId="5A5AFE99" w14:textId="77777777" w:rsidR="00072050" w:rsidRDefault="00072050" w:rsidP="00072050">
      <w:pPr>
        <w:spacing w:after="0" w:line="240" w:lineRule="auto"/>
        <w:jc w:val="both"/>
        <w:textAlignment w:val="baseline"/>
        <w:rPr>
          <w:rFonts w:ascii="Times New Roman" w:eastAsia="Times New Roman" w:hAnsi="Times New Roman" w:cs="Times New Roman"/>
          <w:color w:val="000000"/>
          <w:sz w:val="24"/>
          <w:szCs w:val="24"/>
          <w:lang w:eastAsia="fr-FR"/>
        </w:rPr>
      </w:pPr>
    </w:p>
    <w:p w14:paraId="2697FD5E" w14:textId="77777777" w:rsidR="00072050" w:rsidRDefault="001F05B2" w:rsidP="00072050">
      <w:pPr>
        <w:spacing w:after="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un blocage, utiliser des questions ouvertes plutôt que des questions fermées, reformuler et susciter la reformulation par le patient, faire des « mini-synthèses »…</w:t>
      </w:r>
      <w:r w:rsidRPr="001F05B2">
        <w:rPr>
          <w:rFonts w:ascii="Times New Roman" w:eastAsia="Times New Roman" w:hAnsi="Times New Roman" w:cs="Times New Roman"/>
          <w:color w:val="000000"/>
          <w:sz w:val="24"/>
          <w:szCs w:val="24"/>
          <w:lang w:eastAsia="fr-FR"/>
        </w:rPr>
        <w:br/>
        <w:t>• Toutes ces techniques de communication sont excellentes si elles ne sont pas mises au service d’une manipulation, c’est-à-dire si elles correspondent réellement à une pratique centrée sur le patient, et donc décentrée de soi, l’inverse de la position du manipulateur, tireur de ficelles [ 36 ].</w:t>
      </w:r>
      <w:r w:rsidRPr="001F05B2">
        <w:rPr>
          <w:rFonts w:ascii="Times New Roman" w:eastAsia="Times New Roman" w:hAnsi="Times New Roman" w:cs="Times New Roman"/>
          <w:color w:val="000000"/>
          <w:sz w:val="24"/>
          <w:szCs w:val="24"/>
          <w:lang w:eastAsia="fr-FR"/>
        </w:rPr>
        <w:br/>
        <w:t xml:space="preserve">Cette séparation entre psychologie </w:t>
      </w:r>
      <w:proofErr w:type="spellStart"/>
      <w:r w:rsidRPr="001F05B2">
        <w:rPr>
          <w:rFonts w:ascii="Times New Roman" w:eastAsia="Times New Roman" w:hAnsi="Times New Roman" w:cs="Times New Roman"/>
          <w:color w:val="000000"/>
          <w:sz w:val="24"/>
          <w:szCs w:val="24"/>
          <w:lang w:eastAsia="fr-FR"/>
        </w:rPr>
        <w:t>cognitivo</w:t>
      </w:r>
      <w:proofErr w:type="spellEnd"/>
      <w:r w:rsidRPr="001F05B2">
        <w:rPr>
          <w:rFonts w:ascii="Times New Roman" w:eastAsia="Times New Roman" w:hAnsi="Times New Roman" w:cs="Times New Roman"/>
          <w:color w:val="000000"/>
          <w:sz w:val="24"/>
          <w:szCs w:val="24"/>
          <w:lang w:eastAsia="fr-FR"/>
        </w:rPr>
        <w:t>-comportementale et psychologie analytique, en vérité plus complémentaires qu’opposées, renvoie à une distinction entre deux familles philosophiques : les philosophies de la connaissance, et les philosophies de l’affectivité [ 37 ]. Les premières, </w:t>
      </w:r>
      <w:r w:rsidRPr="001F05B2">
        <w:rPr>
          <w:rFonts w:ascii="Times New Roman" w:eastAsia="Times New Roman" w:hAnsi="Times New Roman" w:cs="Times New Roman"/>
          <w:i/>
          <w:iCs/>
          <w:color w:val="000000"/>
          <w:sz w:val="24"/>
          <w:szCs w:val="24"/>
          <w:lang w:eastAsia="fr-FR"/>
        </w:rPr>
        <w:t>« se proposent de mener d’abord une réforme de l’entendement pour mettre fin aux malentendus, aux quiproquos, à l’erreur »</w:t>
      </w:r>
      <w:r w:rsidRPr="001F05B2">
        <w:rPr>
          <w:rFonts w:ascii="Times New Roman" w:eastAsia="Times New Roman" w:hAnsi="Times New Roman" w:cs="Times New Roman"/>
          <w:color w:val="000000"/>
          <w:sz w:val="24"/>
          <w:szCs w:val="24"/>
          <w:lang w:eastAsia="fr-FR"/>
        </w:rPr>
        <w:t>. Les secondes, </w:t>
      </w:r>
      <w:r w:rsidRPr="001F05B2">
        <w:rPr>
          <w:rFonts w:ascii="Times New Roman" w:eastAsia="Times New Roman" w:hAnsi="Times New Roman" w:cs="Times New Roman"/>
          <w:i/>
          <w:iCs/>
          <w:color w:val="000000"/>
          <w:sz w:val="24"/>
          <w:szCs w:val="24"/>
          <w:lang w:eastAsia="fr-FR"/>
        </w:rPr>
        <w:t>« cherchent à rendre compte de notre déception, par la nature même de notre attente et de notre désir »</w:t>
      </w:r>
      <w:r w:rsidRPr="001F05B2">
        <w:rPr>
          <w:rFonts w:ascii="Times New Roman" w:eastAsia="Times New Roman" w:hAnsi="Times New Roman" w:cs="Times New Roman"/>
          <w:color w:val="000000"/>
          <w:sz w:val="24"/>
          <w:szCs w:val="24"/>
          <w:lang w:eastAsia="fr-FR"/>
        </w:rPr>
        <w:t> taraudé par le manque, et </w:t>
      </w:r>
      <w:r w:rsidRPr="001F05B2">
        <w:rPr>
          <w:rFonts w:ascii="Times New Roman" w:eastAsia="Times New Roman" w:hAnsi="Times New Roman" w:cs="Times New Roman"/>
          <w:i/>
          <w:iCs/>
          <w:color w:val="000000"/>
          <w:sz w:val="24"/>
          <w:szCs w:val="24"/>
          <w:lang w:eastAsia="fr-FR"/>
        </w:rPr>
        <w:t>« qu’aucun objet ne peut jamais satisfaire »</w:t>
      </w:r>
      <w:r w:rsidRPr="001F05B2">
        <w:rPr>
          <w:rFonts w:ascii="Times New Roman" w:eastAsia="Times New Roman" w:hAnsi="Times New Roman" w:cs="Times New Roman"/>
          <w:color w:val="000000"/>
          <w:sz w:val="24"/>
          <w:szCs w:val="24"/>
          <w:lang w:eastAsia="fr-FR"/>
        </w:rPr>
        <w:t xml:space="preserve">. La conscience réflexive explique que l’homme soit le seul animal qui sait qu’il va mourir et qui se pose la question du sens de sa vie. Or, la survenue d’une maladie chronique annonce la finitude et hypothèque le sens de la vie. D’où l’importance des deuils et de « l’aptitude au deuil ». Étonnamment, des pédagogues, comme André Giordan, investis dans l’ETP, influencés par le </w:t>
      </w:r>
      <w:proofErr w:type="spellStart"/>
      <w:r w:rsidRPr="001F05B2">
        <w:rPr>
          <w:rFonts w:ascii="Times New Roman" w:eastAsia="Times New Roman" w:hAnsi="Times New Roman" w:cs="Times New Roman"/>
          <w:color w:val="000000"/>
          <w:sz w:val="24"/>
          <w:szCs w:val="24"/>
          <w:lang w:eastAsia="fr-FR"/>
        </w:rPr>
        <w:t>cognitivo</w:t>
      </w:r>
      <w:proofErr w:type="spellEnd"/>
      <w:r w:rsidRPr="001F05B2">
        <w:rPr>
          <w:rFonts w:ascii="Times New Roman" w:eastAsia="Times New Roman" w:hAnsi="Times New Roman" w:cs="Times New Roman"/>
          <w:color w:val="000000"/>
          <w:sz w:val="24"/>
          <w:szCs w:val="24"/>
          <w:lang w:eastAsia="fr-FR"/>
        </w:rPr>
        <w:t xml:space="preserve">-comportementalisme et la psychologie positive, en viennent à proposer, en 2013, de supprimer le deuil en le retirant du langage, comme si le mot faisait la chose </w:t>
      </w:r>
      <w:proofErr w:type="gramStart"/>
      <w:r w:rsidRPr="001F05B2">
        <w:rPr>
          <w:rFonts w:ascii="Times New Roman" w:eastAsia="Times New Roman" w:hAnsi="Times New Roman" w:cs="Times New Roman"/>
          <w:color w:val="000000"/>
          <w:sz w:val="24"/>
          <w:szCs w:val="24"/>
          <w:lang w:eastAsia="fr-FR"/>
        </w:rPr>
        <w:t>[ 38</w:t>
      </w:r>
      <w:proofErr w:type="gramEnd"/>
      <w:r w:rsidRPr="001F05B2">
        <w:rPr>
          <w:rFonts w:ascii="Times New Roman" w:eastAsia="Times New Roman" w:hAnsi="Times New Roman" w:cs="Times New Roman"/>
          <w:color w:val="000000"/>
          <w:sz w:val="24"/>
          <w:szCs w:val="24"/>
          <w:lang w:eastAsia="fr-FR"/>
        </w:rPr>
        <w:t xml:space="preserve"> ] : </w:t>
      </w:r>
      <w:r w:rsidRPr="001F05B2">
        <w:rPr>
          <w:rFonts w:ascii="Times New Roman" w:eastAsia="Times New Roman" w:hAnsi="Times New Roman" w:cs="Times New Roman"/>
          <w:i/>
          <w:iCs/>
          <w:color w:val="000000"/>
          <w:sz w:val="24"/>
          <w:szCs w:val="24"/>
          <w:lang w:eastAsia="fr-FR"/>
        </w:rPr>
        <w:t>« Laissons tomber désormais les mots de « maladie » et de « santé », ces mots qui nous plombent. Souvent, le soignant miséricordieux dit : « avoir une maladie chronique, c’est faire le deuil d’un état de bonne santé. Une telle approche part d’un bon sentiment, celle de faire un deuil de son état antérieur pour passer à autre chose : le traitement. Pas facile de faire un deuil en si peu de temps. Est-ce bien utile ?</w:t>
      </w:r>
      <w:proofErr w:type="gramStart"/>
      <w:r w:rsidRPr="001F05B2">
        <w:rPr>
          <w:rFonts w:ascii="Times New Roman" w:eastAsia="Times New Roman" w:hAnsi="Times New Roman" w:cs="Times New Roman"/>
          <w:color w:val="000000"/>
          <w:sz w:val="24"/>
          <w:szCs w:val="24"/>
          <w:lang w:eastAsia="fr-FR"/>
        </w:rPr>
        <w:t> »…</w:t>
      </w:r>
      <w:proofErr w:type="gramEnd"/>
      <w:r w:rsidRPr="001F05B2">
        <w:rPr>
          <w:rFonts w:ascii="Times New Roman" w:eastAsia="Times New Roman" w:hAnsi="Times New Roman" w:cs="Times New Roman"/>
          <w:i/>
          <w:iCs/>
          <w:color w:val="000000"/>
          <w:sz w:val="24"/>
          <w:szCs w:val="24"/>
          <w:lang w:eastAsia="fr-FR"/>
        </w:rPr>
        <w:t> « Faire son deuil de la santé devient contreproductif ; il induit une phase de déni… »</w:t>
      </w:r>
      <w:r w:rsidRPr="001F05B2">
        <w:rPr>
          <w:rFonts w:ascii="Times New Roman" w:eastAsia="Times New Roman" w:hAnsi="Times New Roman" w:cs="Times New Roman"/>
          <w:color w:val="000000"/>
          <w:sz w:val="24"/>
          <w:szCs w:val="24"/>
          <w:lang w:eastAsia="fr-FR"/>
        </w:rPr>
        <w:t>. La solution est pourtant simple : </w:t>
      </w:r>
      <w:r w:rsidRPr="001F05B2">
        <w:rPr>
          <w:rFonts w:ascii="Times New Roman" w:eastAsia="Times New Roman" w:hAnsi="Times New Roman" w:cs="Times New Roman"/>
          <w:i/>
          <w:iCs/>
          <w:color w:val="000000"/>
          <w:sz w:val="24"/>
          <w:szCs w:val="24"/>
          <w:lang w:eastAsia="fr-FR"/>
        </w:rPr>
        <w:t>« Ne devrait-on pas tous les jours vivre comme si c’était le dernier »</w:t>
      </w:r>
      <w:r w:rsidRPr="001F05B2">
        <w:rPr>
          <w:rFonts w:ascii="Times New Roman" w:eastAsia="Times New Roman" w:hAnsi="Times New Roman" w:cs="Times New Roman"/>
          <w:color w:val="000000"/>
          <w:sz w:val="24"/>
          <w:szCs w:val="24"/>
          <w:lang w:eastAsia="fr-FR"/>
        </w:rPr>
        <w:t>. Grande sagesse ! Mais qui ne rend pas vraiment facile les changements de comportements nécessaires pour la prévention. Si c’est vraiment le dernier jour, autant ne pas se priver !</w:t>
      </w:r>
      <w:r w:rsidRPr="001F05B2">
        <w:rPr>
          <w:rFonts w:ascii="Times New Roman" w:eastAsia="Times New Roman" w:hAnsi="Times New Roman" w:cs="Times New Roman"/>
          <w:color w:val="000000"/>
          <w:sz w:val="24"/>
          <w:szCs w:val="24"/>
          <w:lang w:eastAsia="fr-FR"/>
        </w:rPr>
        <w:br/>
        <w:t>Cependant, il est vrai que le travail de deuil et les mécanismes de défenses varient sensiblement selon le type de maladie et de traitement, ainsi que selon le retentissement social et le regard des autres. La découverte d’un diabète de type 2 peu ou pas asymptomatique, à l’opposé du début bruyant du diabète de type 1, facilite le déni, la minimisation (</w:t>
      </w:r>
      <w:r w:rsidRPr="001F05B2">
        <w:rPr>
          <w:rFonts w:ascii="Times New Roman" w:eastAsia="Times New Roman" w:hAnsi="Times New Roman" w:cs="Times New Roman"/>
          <w:i/>
          <w:iCs/>
          <w:color w:val="000000"/>
          <w:sz w:val="24"/>
          <w:szCs w:val="24"/>
          <w:lang w:eastAsia="fr-FR"/>
        </w:rPr>
        <w:t>« un petit diabète »</w:t>
      </w:r>
      <w:r w:rsidRPr="001F05B2">
        <w:rPr>
          <w:rFonts w:ascii="Times New Roman" w:eastAsia="Times New Roman" w:hAnsi="Times New Roman" w:cs="Times New Roman"/>
          <w:color w:val="000000"/>
          <w:sz w:val="24"/>
          <w:szCs w:val="24"/>
          <w:lang w:eastAsia="fr-FR"/>
        </w:rPr>
        <w:t>) ou la banalisation (</w:t>
      </w:r>
      <w:r w:rsidRPr="001F05B2">
        <w:rPr>
          <w:rFonts w:ascii="Times New Roman" w:eastAsia="Times New Roman" w:hAnsi="Times New Roman" w:cs="Times New Roman"/>
          <w:i/>
          <w:iCs/>
          <w:color w:val="000000"/>
          <w:sz w:val="24"/>
          <w:szCs w:val="24"/>
          <w:lang w:eastAsia="fr-FR"/>
        </w:rPr>
        <w:t>« il faut bien vieillir… »</w:t>
      </w:r>
      <w:r w:rsidRPr="001F05B2">
        <w:rPr>
          <w:rFonts w:ascii="Times New Roman" w:eastAsia="Times New Roman" w:hAnsi="Times New Roman" w:cs="Times New Roman"/>
          <w:color w:val="000000"/>
          <w:sz w:val="24"/>
          <w:szCs w:val="24"/>
          <w:lang w:eastAsia="fr-FR"/>
        </w:rPr>
        <w:t>). Il ne s’agit que de</w:t>
      </w:r>
      <w:r w:rsidRPr="001F05B2">
        <w:rPr>
          <w:rFonts w:ascii="Times New Roman" w:eastAsia="Times New Roman" w:hAnsi="Times New Roman" w:cs="Times New Roman"/>
          <w:i/>
          <w:iCs/>
          <w:color w:val="000000"/>
          <w:sz w:val="24"/>
          <w:szCs w:val="24"/>
          <w:lang w:eastAsia="fr-FR"/>
        </w:rPr>
        <w:t> « petites morts »</w:t>
      </w:r>
      <w:r w:rsidRPr="001F05B2">
        <w:rPr>
          <w:rFonts w:ascii="Times New Roman" w:eastAsia="Times New Roman" w:hAnsi="Times New Roman" w:cs="Times New Roman"/>
          <w:color w:val="000000"/>
          <w:sz w:val="24"/>
          <w:szCs w:val="24"/>
          <w:lang w:eastAsia="fr-FR"/>
        </w:rPr>
        <w:t xml:space="preserve"> pour reprendre l’expression de Vladimir Jankélévitch </w:t>
      </w:r>
      <w:proofErr w:type="gramStart"/>
      <w:r w:rsidRPr="001F05B2">
        <w:rPr>
          <w:rFonts w:ascii="Times New Roman" w:eastAsia="Times New Roman" w:hAnsi="Times New Roman" w:cs="Times New Roman"/>
          <w:color w:val="000000"/>
          <w:sz w:val="24"/>
          <w:szCs w:val="24"/>
          <w:lang w:eastAsia="fr-FR"/>
        </w:rPr>
        <w:t>[ 39</w:t>
      </w:r>
      <w:proofErr w:type="gramEnd"/>
      <w:r w:rsidRPr="001F05B2">
        <w:rPr>
          <w:rFonts w:ascii="Times New Roman" w:eastAsia="Times New Roman" w:hAnsi="Times New Roman" w:cs="Times New Roman"/>
          <w:color w:val="000000"/>
          <w:sz w:val="24"/>
          <w:szCs w:val="24"/>
          <w:lang w:eastAsia="fr-FR"/>
        </w:rPr>
        <w:t xml:space="preserve"> ]. Quand le corps ne parle pas, c’est l’annonce du diagnostic qui change le statut du patient, et c’est la prise quotidienne du traitement qui rappelle au patient le risque lointain de complications. Il en va de même pour l’hypertension artérielle ou l’hypercholestérolémie… C’est alors bien souvent l’ETP qui fait prendre conscience au patient qu’il est malade, d’où les difficultés de l’observance, et l’intérêt de l’approche </w:t>
      </w:r>
      <w:proofErr w:type="spellStart"/>
      <w:r w:rsidRPr="001F05B2">
        <w:rPr>
          <w:rFonts w:ascii="Times New Roman" w:eastAsia="Times New Roman" w:hAnsi="Times New Roman" w:cs="Times New Roman"/>
          <w:color w:val="000000"/>
          <w:sz w:val="24"/>
          <w:szCs w:val="24"/>
          <w:lang w:eastAsia="fr-FR"/>
        </w:rPr>
        <w:t>cognitivo</w:t>
      </w:r>
      <w:proofErr w:type="spellEnd"/>
      <w:r w:rsidRPr="001F05B2">
        <w:rPr>
          <w:rFonts w:ascii="Times New Roman" w:eastAsia="Times New Roman" w:hAnsi="Times New Roman" w:cs="Times New Roman"/>
          <w:color w:val="000000"/>
          <w:sz w:val="24"/>
          <w:szCs w:val="24"/>
          <w:lang w:eastAsia="fr-FR"/>
        </w:rPr>
        <w:t>-comportementale pour l’améliorer.</w:t>
      </w:r>
    </w:p>
    <w:p w14:paraId="369795FC" w14:textId="77777777" w:rsidR="00072050" w:rsidRDefault="001F05B2" w:rsidP="00072050">
      <w:pPr>
        <w:spacing w:after="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br/>
        <w:t xml:space="preserve">• Mais, c’est chez les économistes « utilitaristes » que le comportementalisme triomphe. Comme le constate Jean Tirole </w:t>
      </w:r>
      <w:proofErr w:type="gramStart"/>
      <w:r w:rsidRPr="001F05B2">
        <w:rPr>
          <w:rFonts w:ascii="Times New Roman" w:eastAsia="Times New Roman" w:hAnsi="Times New Roman" w:cs="Times New Roman"/>
          <w:color w:val="000000"/>
          <w:sz w:val="24"/>
          <w:szCs w:val="24"/>
          <w:lang w:eastAsia="fr-FR"/>
        </w:rPr>
        <w:t>[ 40</w:t>
      </w:r>
      <w:proofErr w:type="gramEnd"/>
      <w:r w:rsidRPr="001F05B2">
        <w:rPr>
          <w:rFonts w:ascii="Times New Roman" w:eastAsia="Times New Roman" w:hAnsi="Times New Roman" w:cs="Times New Roman"/>
          <w:color w:val="000000"/>
          <w:sz w:val="24"/>
          <w:szCs w:val="24"/>
          <w:lang w:eastAsia="fr-FR"/>
        </w:rPr>
        <w:t xml:space="preserve"> ], </w:t>
      </w:r>
      <w:r w:rsidRPr="001F05B2">
        <w:rPr>
          <w:rFonts w:ascii="Times New Roman" w:eastAsia="Times New Roman" w:hAnsi="Times New Roman" w:cs="Times New Roman"/>
          <w:i/>
          <w:iCs/>
          <w:color w:val="000000"/>
          <w:sz w:val="24"/>
          <w:szCs w:val="24"/>
          <w:lang w:eastAsia="fr-FR"/>
        </w:rPr>
        <w:t xml:space="preserve">« les économistes sont revenus vers la psychologie… pour mieux comprendre les comportements car de fait, l’homo </w:t>
      </w:r>
      <w:proofErr w:type="spellStart"/>
      <w:r w:rsidRPr="001F05B2">
        <w:rPr>
          <w:rFonts w:ascii="Times New Roman" w:eastAsia="Times New Roman" w:hAnsi="Times New Roman" w:cs="Times New Roman"/>
          <w:i/>
          <w:iCs/>
          <w:color w:val="000000"/>
          <w:sz w:val="24"/>
          <w:szCs w:val="24"/>
          <w:lang w:eastAsia="fr-FR"/>
        </w:rPr>
        <w:t>oeconomicus</w:t>
      </w:r>
      <w:proofErr w:type="spellEnd"/>
      <w:r w:rsidRPr="001F05B2">
        <w:rPr>
          <w:rFonts w:ascii="Times New Roman" w:eastAsia="Times New Roman" w:hAnsi="Times New Roman" w:cs="Times New Roman"/>
          <w:i/>
          <w:iCs/>
          <w:color w:val="000000"/>
          <w:sz w:val="24"/>
          <w:szCs w:val="24"/>
          <w:lang w:eastAsia="fr-FR"/>
        </w:rPr>
        <w:t xml:space="preserve"> et l’homo </w:t>
      </w:r>
      <w:proofErr w:type="spellStart"/>
      <w:r w:rsidRPr="001F05B2">
        <w:rPr>
          <w:rFonts w:ascii="Times New Roman" w:eastAsia="Times New Roman" w:hAnsi="Times New Roman" w:cs="Times New Roman"/>
          <w:i/>
          <w:iCs/>
          <w:color w:val="000000"/>
          <w:sz w:val="24"/>
          <w:szCs w:val="24"/>
          <w:lang w:eastAsia="fr-FR"/>
        </w:rPr>
        <w:t>politicus</w:t>
      </w:r>
      <w:proofErr w:type="spellEnd"/>
      <w:r w:rsidRPr="001F05B2">
        <w:rPr>
          <w:rFonts w:ascii="Times New Roman" w:eastAsia="Times New Roman" w:hAnsi="Times New Roman" w:cs="Times New Roman"/>
          <w:i/>
          <w:iCs/>
          <w:color w:val="000000"/>
          <w:sz w:val="24"/>
          <w:szCs w:val="24"/>
          <w:lang w:eastAsia="fr-FR"/>
        </w:rPr>
        <w:t xml:space="preserve"> ne se comportent pas toujours aussi rationnellement que le prédit la théorie »</w:t>
      </w:r>
      <w:r w:rsidRPr="001F05B2">
        <w:rPr>
          <w:rFonts w:ascii="Times New Roman" w:eastAsia="Times New Roman" w:hAnsi="Times New Roman" w:cs="Times New Roman"/>
          <w:color w:val="000000"/>
          <w:sz w:val="24"/>
          <w:szCs w:val="24"/>
          <w:lang w:eastAsia="fr-FR"/>
        </w:rPr>
        <w:t>. S’en suit un éloge du marché régulé par l’État, si bien que pour le prix Nobel d’économie, on </w:t>
      </w:r>
      <w:r w:rsidRPr="001F05B2">
        <w:rPr>
          <w:rFonts w:ascii="Times New Roman" w:eastAsia="Times New Roman" w:hAnsi="Times New Roman" w:cs="Times New Roman"/>
          <w:i/>
          <w:iCs/>
          <w:color w:val="000000"/>
          <w:sz w:val="24"/>
          <w:szCs w:val="24"/>
          <w:lang w:eastAsia="fr-FR"/>
        </w:rPr>
        <w:t>« ne peut pas se targuer de morale quand est contre la vente d’organe</w:t>
      </w:r>
      <w:r w:rsidRPr="001F05B2">
        <w:rPr>
          <w:rFonts w:ascii="Times New Roman" w:eastAsia="Times New Roman" w:hAnsi="Times New Roman" w:cs="Times New Roman"/>
          <w:color w:val="000000"/>
          <w:sz w:val="24"/>
          <w:szCs w:val="24"/>
          <w:lang w:eastAsia="fr-FR"/>
        </w:rPr>
        <w:t xml:space="preserve"> », car la vente d’organe (de reins) permettrait à la fois de greffer plus de patients et de rapporter gros, puisque ces économistes ont calculé qu’une année de vie en bonne santé valait 50 000 euros ! Tout, ou presque tout, </w:t>
      </w:r>
    </w:p>
    <w:p w14:paraId="6E4DCA9A" w14:textId="77777777" w:rsidR="00072050" w:rsidRDefault="00072050" w:rsidP="00072050">
      <w:pPr>
        <w:spacing w:after="0" w:line="240" w:lineRule="auto"/>
        <w:jc w:val="both"/>
        <w:textAlignment w:val="baseline"/>
        <w:rPr>
          <w:rFonts w:ascii="Times New Roman" w:eastAsia="Times New Roman" w:hAnsi="Times New Roman" w:cs="Times New Roman"/>
          <w:color w:val="000000"/>
          <w:sz w:val="24"/>
          <w:szCs w:val="24"/>
          <w:lang w:eastAsia="fr-FR"/>
        </w:rPr>
      </w:pPr>
    </w:p>
    <w:p w14:paraId="11A61E31" w14:textId="77777777" w:rsidR="00072050" w:rsidRDefault="00072050" w:rsidP="00072050">
      <w:pPr>
        <w:spacing w:after="0" w:line="240" w:lineRule="auto"/>
        <w:jc w:val="both"/>
        <w:textAlignment w:val="baseline"/>
        <w:rPr>
          <w:rFonts w:ascii="Times New Roman" w:eastAsia="Times New Roman" w:hAnsi="Times New Roman" w:cs="Times New Roman"/>
          <w:color w:val="000000"/>
          <w:sz w:val="24"/>
          <w:szCs w:val="24"/>
          <w:lang w:eastAsia="fr-FR"/>
        </w:rPr>
      </w:pPr>
    </w:p>
    <w:p w14:paraId="4EBFC981" w14:textId="77777777" w:rsidR="00072050" w:rsidRDefault="00072050" w:rsidP="00072050">
      <w:pPr>
        <w:spacing w:after="0" w:line="240" w:lineRule="auto"/>
        <w:jc w:val="both"/>
        <w:textAlignment w:val="baseline"/>
        <w:rPr>
          <w:rFonts w:ascii="Times New Roman" w:eastAsia="Times New Roman" w:hAnsi="Times New Roman" w:cs="Times New Roman"/>
          <w:color w:val="000000"/>
          <w:sz w:val="24"/>
          <w:szCs w:val="24"/>
          <w:lang w:eastAsia="fr-FR"/>
        </w:rPr>
      </w:pPr>
    </w:p>
    <w:p w14:paraId="74C3A5B2" w14:textId="2CE0FFBD" w:rsidR="001F05B2" w:rsidRDefault="001F05B2" w:rsidP="00072050">
      <w:pPr>
        <w:spacing w:after="0" w:line="240" w:lineRule="auto"/>
        <w:jc w:val="both"/>
        <w:textAlignment w:val="baseline"/>
        <w:rPr>
          <w:rFonts w:ascii="Times New Roman" w:eastAsia="Times New Roman" w:hAnsi="Times New Roman" w:cs="Times New Roman"/>
          <w:color w:val="000000"/>
          <w:sz w:val="24"/>
          <w:szCs w:val="24"/>
          <w:lang w:eastAsia="fr-FR"/>
        </w:rPr>
      </w:pPr>
      <w:proofErr w:type="gramStart"/>
      <w:r w:rsidRPr="001F05B2">
        <w:rPr>
          <w:rFonts w:ascii="Times New Roman" w:eastAsia="Times New Roman" w:hAnsi="Times New Roman" w:cs="Times New Roman"/>
          <w:color w:val="000000"/>
          <w:sz w:val="24"/>
          <w:szCs w:val="24"/>
          <w:lang w:eastAsia="fr-FR"/>
        </w:rPr>
        <w:t>peut</w:t>
      </w:r>
      <w:proofErr w:type="gramEnd"/>
      <w:r w:rsidRPr="001F05B2">
        <w:rPr>
          <w:rFonts w:ascii="Times New Roman" w:eastAsia="Times New Roman" w:hAnsi="Times New Roman" w:cs="Times New Roman"/>
          <w:color w:val="000000"/>
          <w:sz w:val="24"/>
          <w:szCs w:val="24"/>
          <w:lang w:eastAsia="fr-FR"/>
        </w:rPr>
        <w:t>-donc être vendu à la condition que la vente soit régulée par l’État. Fin de la morale kantienne : </w:t>
      </w:r>
      <w:r w:rsidRPr="001F05B2">
        <w:rPr>
          <w:rFonts w:ascii="Times New Roman" w:eastAsia="Times New Roman" w:hAnsi="Times New Roman" w:cs="Times New Roman"/>
          <w:i/>
          <w:iCs/>
          <w:color w:val="000000"/>
          <w:sz w:val="24"/>
          <w:szCs w:val="24"/>
          <w:lang w:eastAsia="fr-FR"/>
        </w:rPr>
        <w:t>« disposer de soi comme d’un simple moyen en vue d’une fin quelconque, c’est abaisser l’humanité en sa propre personne »</w:t>
      </w:r>
      <w:r w:rsidRPr="001F05B2">
        <w:rPr>
          <w:rFonts w:ascii="Times New Roman" w:eastAsia="Times New Roman" w:hAnsi="Times New Roman" w:cs="Times New Roman"/>
          <w:color w:val="000000"/>
          <w:sz w:val="24"/>
          <w:szCs w:val="24"/>
          <w:lang w:eastAsia="fr-FR"/>
        </w:rPr>
        <w:t> </w:t>
      </w:r>
      <w:proofErr w:type="gramStart"/>
      <w:r w:rsidRPr="001F05B2">
        <w:rPr>
          <w:rFonts w:ascii="Times New Roman" w:eastAsia="Times New Roman" w:hAnsi="Times New Roman" w:cs="Times New Roman"/>
          <w:color w:val="000000"/>
          <w:sz w:val="24"/>
          <w:szCs w:val="24"/>
          <w:lang w:eastAsia="fr-FR"/>
        </w:rPr>
        <w:t>[ 41</w:t>
      </w:r>
      <w:proofErr w:type="gramEnd"/>
      <w:r w:rsidRPr="001F05B2">
        <w:rPr>
          <w:rFonts w:ascii="Times New Roman" w:eastAsia="Times New Roman" w:hAnsi="Times New Roman" w:cs="Times New Roman"/>
          <w:color w:val="000000"/>
          <w:sz w:val="24"/>
          <w:szCs w:val="24"/>
          <w:lang w:eastAsia="fr-FR"/>
        </w:rPr>
        <w:t xml:space="preserve"> , 42 ] !</w:t>
      </w:r>
    </w:p>
    <w:p w14:paraId="211EE11F" w14:textId="77777777" w:rsidR="00072050" w:rsidRPr="001F05B2" w:rsidRDefault="00072050" w:rsidP="00072050">
      <w:pPr>
        <w:spacing w:after="0" w:line="240" w:lineRule="auto"/>
        <w:jc w:val="both"/>
        <w:textAlignment w:val="baseline"/>
        <w:rPr>
          <w:rFonts w:ascii="Times New Roman" w:eastAsia="Times New Roman" w:hAnsi="Times New Roman" w:cs="Times New Roman"/>
          <w:color w:val="000000"/>
          <w:sz w:val="24"/>
          <w:szCs w:val="24"/>
          <w:lang w:eastAsia="fr-FR"/>
        </w:rPr>
      </w:pPr>
    </w:p>
    <w:p w14:paraId="10B89EEB" w14:textId="77777777" w:rsidR="001F05B2" w:rsidRPr="001F05B2" w:rsidRDefault="001F05B2" w:rsidP="00072050">
      <w:pPr>
        <w:spacing w:after="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b/>
          <w:bCs/>
          <w:color w:val="000000"/>
          <w:sz w:val="24"/>
          <w:szCs w:val="24"/>
          <w:bdr w:val="none" w:sz="0" w:space="0" w:color="auto" w:frame="1"/>
          <w:lang w:eastAsia="fr-FR"/>
        </w:rPr>
        <w:t>L’ETP a surtout été influencée par les courants modernes de la pédagogie </w:t>
      </w:r>
      <w:r w:rsidRPr="001F05B2">
        <w:rPr>
          <w:rFonts w:ascii="Times New Roman" w:eastAsia="Times New Roman" w:hAnsi="Times New Roman" w:cs="Times New Roman"/>
          <w:color w:val="000000"/>
          <w:sz w:val="24"/>
          <w:szCs w:val="24"/>
          <w:lang w:eastAsia="fr-FR"/>
        </w:rPr>
        <w:t>[43]</w:t>
      </w:r>
    </w:p>
    <w:p w14:paraId="235BADBF"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 xml:space="preserve">• La pédagogie moderne s’est développée en opposition à la « pédagogie classique » ou « pédagogie de la transmission » de maître à élève, ou « pédagogie de l’empreinte » sur la page blanche ou « pédagogie frontale » (l’enseignant qui explique ou qui montre fait face aux élèves qui regardent, écoutent ou écrivent, et, au mieux, posent des questions). Cette pédagogie classique fût, pour l’essentiel, la pédagogie subie par les soignants durant leurs études, et c’est elle qui est mise en œuvre lors de la plupart des congrès médicaux et paramédicaux. Centrée sur la didactique de la matière enseignée (ou de la communication) en utilisant des techniques propres à capter l’attention de l’auditoire, elle est plus adaptée à un enseignement post-universitaire qu’à l’apprentissage initial ou à une formation destinée à changer des pratiques. Pour être efficace, elle suppose en effet une communauté suffisante de culture, de connaissances et d’intérêts entre l’enseignant (ou le communiquant) et les enseignés (ou les auditeurs) dont le nombre peut donc être très important. S’y opposent les pédagogies dites « actives » partageant les valeurs de la psychologie humaniste, développée notamment par Carl Rogers (1954) </w:t>
      </w:r>
      <w:proofErr w:type="gramStart"/>
      <w:r w:rsidRPr="001F05B2">
        <w:rPr>
          <w:rFonts w:ascii="Times New Roman" w:eastAsia="Times New Roman" w:hAnsi="Times New Roman" w:cs="Times New Roman"/>
          <w:color w:val="000000"/>
          <w:sz w:val="24"/>
          <w:szCs w:val="24"/>
          <w:lang w:eastAsia="fr-FR"/>
        </w:rPr>
        <w:t>[ 44</w:t>
      </w:r>
      <w:proofErr w:type="gramEnd"/>
      <w:r w:rsidRPr="001F05B2">
        <w:rPr>
          <w:rFonts w:ascii="Times New Roman" w:eastAsia="Times New Roman" w:hAnsi="Times New Roman" w:cs="Times New Roman"/>
          <w:color w:val="000000"/>
          <w:sz w:val="24"/>
          <w:szCs w:val="24"/>
          <w:lang w:eastAsia="fr-FR"/>
        </w:rPr>
        <w:t xml:space="preserve"> ]. Les méthodes développées par Maria Montessori (1900), Ovide </w:t>
      </w:r>
      <w:proofErr w:type="spellStart"/>
      <w:r w:rsidRPr="001F05B2">
        <w:rPr>
          <w:rFonts w:ascii="Times New Roman" w:eastAsia="Times New Roman" w:hAnsi="Times New Roman" w:cs="Times New Roman"/>
          <w:color w:val="000000"/>
          <w:sz w:val="24"/>
          <w:szCs w:val="24"/>
          <w:lang w:eastAsia="fr-FR"/>
        </w:rPr>
        <w:t>Declory</w:t>
      </w:r>
      <w:proofErr w:type="spellEnd"/>
      <w:r w:rsidRPr="001F05B2">
        <w:rPr>
          <w:rFonts w:ascii="Times New Roman" w:eastAsia="Times New Roman" w:hAnsi="Times New Roman" w:cs="Times New Roman"/>
          <w:color w:val="000000"/>
          <w:sz w:val="24"/>
          <w:szCs w:val="24"/>
          <w:lang w:eastAsia="fr-FR"/>
        </w:rPr>
        <w:t xml:space="preserve"> (1901), Édouard Claparède (1912), Célestin Freinet (1924), Roger Cousinet (1959), favorisent de façons diverses, l’autonomie, l’initiative, l’expérimentation, l’autocorrection des erreurs, la coopération, la confiance en soi, l’activité physique, et les approches sensorielles des enfants. Ce courant de « l’école nouvelle » préconisant la centration sur l’élève grâce à une pédagogie différenciée, suppose donc un nombre limité d’apprenants.</w:t>
      </w:r>
    </w:p>
    <w:p w14:paraId="15B55D96" w14:textId="3B14ADC8" w:rsidR="001F05B2" w:rsidRPr="001F05B2"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br/>
        <w:t xml:space="preserve">• Lors de la pédagogie active, l’enseigné est mobilisé, soit pour apprendre progressivement un nouveau comportement (comportementalisme ou behaviorisme) </w:t>
      </w:r>
      <w:proofErr w:type="gramStart"/>
      <w:r w:rsidRPr="001F05B2">
        <w:rPr>
          <w:rFonts w:ascii="Times New Roman" w:eastAsia="Times New Roman" w:hAnsi="Times New Roman" w:cs="Times New Roman"/>
          <w:color w:val="000000"/>
          <w:sz w:val="24"/>
          <w:szCs w:val="24"/>
          <w:lang w:eastAsia="fr-FR"/>
        </w:rPr>
        <w:t>[ 45</w:t>
      </w:r>
      <w:proofErr w:type="gramEnd"/>
      <w:r w:rsidRPr="001F05B2">
        <w:rPr>
          <w:rFonts w:ascii="Times New Roman" w:eastAsia="Times New Roman" w:hAnsi="Times New Roman" w:cs="Times New Roman"/>
          <w:color w:val="000000"/>
          <w:sz w:val="24"/>
          <w:szCs w:val="24"/>
          <w:lang w:eastAsia="fr-FR"/>
        </w:rPr>
        <w:t xml:space="preserve"> ], soit pour construire un nouveau savoir (constructivisme proposé par Jean Piaget, en 1923) [ 46 ].</w:t>
      </w:r>
    </w:p>
    <w:p w14:paraId="69D41084" w14:textId="77777777" w:rsidR="001F05B2" w:rsidRPr="001F05B2" w:rsidRDefault="001F05B2" w:rsidP="00072050">
      <w:pPr>
        <w:numPr>
          <w:ilvl w:val="0"/>
          <w:numId w:val="2"/>
        </w:numPr>
        <w:spacing w:after="60" w:line="300" w:lineRule="atLeast"/>
        <w:ind w:left="0"/>
        <w:jc w:val="both"/>
        <w:textAlignment w:val="baseline"/>
        <w:rPr>
          <w:rFonts w:ascii="Times New Roman" w:eastAsia="Times New Roman" w:hAnsi="Times New Roman" w:cs="Times New Roman"/>
          <w:color w:val="2D2828"/>
          <w:sz w:val="24"/>
          <w:szCs w:val="24"/>
          <w:lang w:eastAsia="fr-FR"/>
        </w:rPr>
      </w:pPr>
      <w:r w:rsidRPr="001F05B2">
        <w:rPr>
          <w:rFonts w:ascii="Times New Roman" w:eastAsia="Times New Roman" w:hAnsi="Times New Roman" w:cs="Times New Roman"/>
          <w:color w:val="2D2828"/>
          <w:sz w:val="24"/>
          <w:szCs w:val="24"/>
          <w:lang w:eastAsia="fr-FR"/>
        </w:rPr>
        <w:t>Dans le premier cas, l’enseigné doit atteindre l’objectif fixé, au besoin fragmenté en objectifs intermédiaires, en suivant une procédure préétablie et en répétant autant que nécessaire l’exercice, tandis que l’enseignant guide, rassure, et encourage. Cette pédagogie par objectifs favorise l’évaluation dès lors que l’objectif est réaliste et mesurable.</w:t>
      </w:r>
    </w:p>
    <w:p w14:paraId="216C5F50" w14:textId="77777777" w:rsidR="00072050" w:rsidRDefault="001F05B2" w:rsidP="00072050">
      <w:pPr>
        <w:numPr>
          <w:ilvl w:val="0"/>
          <w:numId w:val="2"/>
        </w:numPr>
        <w:spacing w:after="60" w:line="300" w:lineRule="atLeast"/>
        <w:ind w:left="0"/>
        <w:jc w:val="both"/>
        <w:textAlignment w:val="baseline"/>
        <w:rPr>
          <w:rFonts w:ascii="Times New Roman" w:eastAsia="Times New Roman" w:hAnsi="Times New Roman" w:cs="Times New Roman"/>
          <w:color w:val="2D2828"/>
          <w:sz w:val="24"/>
          <w:szCs w:val="24"/>
          <w:lang w:eastAsia="fr-FR"/>
        </w:rPr>
      </w:pPr>
      <w:r w:rsidRPr="001F05B2">
        <w:rPr>
          <w:rFonts w:ascii="Times New Roman" w:eastAsia="Times New Roman" w:hAnsi="Times New Roman" w:cs="Times New Roman"/>
          <w:color w:val="2D2828"/>
          <w:sz w:val="24"/>
          <w:szCs w:val="24"/>
          <w:lang w:eastAsia="fr-FR"/>
        </w:rPr>
        <w:t xml:space="preserve">Dans le second cas, il s’agit de partir des connaissances et des représentations de l’enseigné en facilitant leur expression pour l’aider à les préciser, à les questionner et, finalement, à les remanier, afin d’y intégrer de nouvelles connaissances et construire ainsi de nouveaux savoirs. Ce processus de construction-déconstruction suppose de solliciter l’ensemble des dimensions interférant dans l’apprentissage (la connaissance et les représentations, les perceptions sensorielles et les affects, dans leur dimension consciente ou semi-consciente) ainsi que la façon dont l’enseigné considère l’enseignement et se considère lui-même (modèle dit « allostérique » d’A. Giordan, 1998) </w:t>
      </w:r>
      <w:proofErr w:type="gramStart"/>
      <w:r w:rsidRPr="001F05B2">
        <w:rPr>
          <w:rFonts w:ascii="Times New Roman" w:eastAsia="Times New Roman" w:hAnsi="Times New Roman" w:cs="Times New Roman"/>
          <w:color w:val="2D2828"/>
          <w:sz w:val="24"/>
          <w:szCs w:val="24"/>
          <w:lang w:eastAsia="fr-FR"/>
        </w:rPr>
        <w:t>[ 47</w:t>
      </w:r>
      <w:proofErr w:type="gramEnd"/>
      <w:r w:rsidRPr="001F05B2">
        <w:rPr>
          <w:rFonts w:ascii="Times New Roman" w:eastAsia="Times New Roman" w:hAnsi="Times New Roman" w:cs="Times New Roman"/>
          <w:color w:val="2D2828"/>
          <w:sz w:val="24"/>
          <w:szCs w:val="24"/>
          <w:lang w:eastAsia="fr-FR"/>
        </w:rPr>
        <w:t xml:space="preserve"> , 48 ]. Pour ce faire, l’interactivité au sein d’un groupe peut être très utile pour créer du questionnement, ébranler des convictions, susciter du conflit cognitif, faciliter la résolution de problème, favoriser l’entraide, et finalement, accroître la confiance personnelle et collective. Mais cela nécessite une formation de l’enseignant portant sur la </w:t>
      </w:r>
    </w:p>
    <w:p w14:paraId="3E64A774" w14:textId="77777777" w:rsidR="00072050" w:rsidRDefault="00072050" w:rsidP="00072050">
      <w:pPr>
        <w:spacing w:after="60" w:line="300" w:lineRule="atLeast"/>
        <w:jc w:val="both"/>
        <w:textAlignment w:val="baseline"/>
        <w:rPr>
          <w:rFonts w:ascii="Times New Roman" w:eastAsia="Times New Roman" w:hAnsi="Times New Roman" w:cs="Times New Roman"/>
          <w:color w:val="2D2828"/>
          <w:sz w:val="24"/>
          <w:szCs w:val="24"/>
          <w:lang w:eastAsia="fr-FR"/>
        </w:rPr>
      </w:pPr>
    </w:p>
    <w:p w14:paraId="54877C48" w14:textId="77777777" w:rsidR="00072050" w:rsidRDefault="00072050" w:rsidP="00072050">
      <w:pPr>
        <w:spacing w:after="60" w:line="300" w:lineRule="atLeast"/>
        <w:jc w:val="both"/>
        <w:textAlignment w:val="baseline"/>
        <w:rPr>
          <w:rFonts w:ascii="Times New Roman" w:eastAsia="Times New Roman" w:hAnsi="Times New Roman" w:cs="Times New Roman"/>
          <w:color w:val="2D2828"/>
          <w:sz w:val="24"/>
          <w:szCs w:val="24"/>
          <w:lang w:eastAsia="fr-FR"/>
        </w:rPr>
      </w:pPr>
    </w:p>
    <w:p w14:paraId="078A8DAB" w14:textId="3678D4C6" w:rsidR="001F05B2" w:rsidRPr="001F05B2" w:rsidRDefault="001F05B2" w:rsidP="00072050">
      <w:pPr>
        <w:spacing w:after="60" w:line="300" w:lineRule="atLeast"/>
        <w:jc w:val="both"/>
        <w:textAlignment w:val="baseline"/>
        <w:rPr>
          <w:rFonts w:ascii="Times New Roman" w:eastAsia="Times New Roman" w:hAnsi="Times New Roman" w:cs="Times New Roman"/>
          <w:color w:val="2D2828"/>
          <w:sz w:val="24"/>
          <w:szCs w:val="24"/>
          <w:lang w:eastAsia="fr-FR"/>
        </w:rPr>
      </w:pPr>
      <w:proofErr w:type="gramStart"/>
      <w:r w:rsidRPr="001F05B2">
        <w:rPr>
          <w:rFonts w:ascii="Times New Roman" w:eastAsia="Times New Roman" w:hAnsi="Times New Roman" w:cs="Times New Roman"/>
          <w:color w:val="2D2828"/>
          <w:sz w:val="24"/>
          <w:szCs w:val="24"/>
          <w:lang w:eastAsia="fr-FR"/>
        </w:rPr>
        <w:t>pédagogie</w:t>
      </w:r>
      <w:proofErr w:type="gramEnd"/>
      <w:r w:rsidRPr="001F05B2">
        <w:rPr>
          <w:rFonts w:ascii="Times New Roman" w:eastAsia="Times New Roman" w:hAnsi="Times New Roman" w:cs="Times New Roman"/>
          <w:color w:val="2D2828"/>
          <w:sz w:val="24"/>
          <w:szCs w:val="24"/>
          <w:lang w:eastAsia="fr-FR"/>
        </w:rPr>
        <w:t xml:space="preserve"> de l’apprentissage, sur la psychologie des personnalités, et sur l’animation de groupe. L’enseignant, en plus d’être un didacticien expert de sa discipline, devient un animateur, un conseiller, un facilitateur, et un régulateur.</w:t>
      </w:r>
    </w:p>
    <w:p w14:paraId="5E6EB53B"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 xml:space="preserve">• C’est ce modèle pédagogique que développa à Genève, Jean Philippe </w:t>
      </w:r>
      <w:proofErr w:type="spellStart"/>
      <w:r w:rsidRPr="001F05B2">
        <w:rPr>
          <w:rFonts w:ascii="Times New Roman" w:eastAsia="Times New Roman" w:hAnsi="Times New Roman" w:cs="Times New Roman"/>
          <w:color w:val="000000"/>
          <w:sz w:val="24"/>
          <w:szCs w:val="24"/>
          <w:lang w:eastAsia="fr-FR"/>
        </w:rPr>
        <w:t>Assal</w:t>
      </w:r>
      <w:proofErr w:type="spellEnd"/>
      <w:r w:rsidRPr="001F05B2">
        <w:rPr>
          <w:rFonts w:ascii="Times New Roman" w:eastAsia="Times New Roman" w:hAnsi="Times New Roman" w:cs="Times New Roman"/>
          <w:color w:val="000000"/>
          <w:sz w:val="24"/>
          <w:szCs w:val="24"/>
          <w:lang w:eastAsia="fr-FR"/>
        </w:rPr>
        <w:t xml:space="preserve">, rejoint par la psychologue clinicienne Anne Lacroix, puis par le pédagogue A. Giordan. Dans son unité d’éduction, tout le personnel était formé à l’éducation, et les apprentis enseignants devaient apprendre à se taire pour écouter. Une place importante était donnée à l’expression de leur vécu par les patients. Des centaines de soignants, médecins et infirmières, ont participé aux stages de formation à l’éducation organisés chaque année dans le petit village suisse de </w:t>
      </w:r>
      <w:proofErr w:type="spellStart"/>
      <w:r w:rsidRPr="001F05B2">
        <w:rPr>
          <w:rFonts w:ascii="Times New Roman" w:eastAsia="Times New Roman" w:hAnsi="Times New Roman" w:cs="Times New Roman"/>
          <w:color w:val="000000"/>
          <w:sz w:val="24"/>
          <w:szCs w:val="24"/>
          <w:lang w:eastAsia="fr-FR"/>
        </w:rPr>
        <w:t>Grimentz</w:t>
      </w:r>
      <w:proofErr w:type="spellEnd"/>
      <w:r w:rsidRPr="001F05B2">
        <w:rPr>
          <w:rFonts w:ascii="Times New Roman" w:eastAsia="Times New Roman" w:hAnsi="Times New Roman" w:cs="Times New Roman"/>
          <w:color w:val="000000"/>
          <w:sz w:val="24"/>
          <w:szCs w:val="24"/>
          <w:lang w:eastAsia="fr-FR"/>
        </w:rPr>
        <w:t xml:space="preserve">. On y apprenait à reconnaître les stades d’acceptation de la maladie, à animer un groupe, à annoncer une mauvaise nouvelle, à faciliter l’expression des représentations et des croyances des patients, à pratiquer l’écoute active et la reformulation, à définir avec le patient des objectifs réalistes, à utiliser l’échec pour progresser, à expérimenter avec le patient… J.-Ph. </w:t>
      </w:r>
      <w:proofErr w:type="spellStart"/>
      <w:r w:rsidRPr="001F05B2">
        <w:rPr>
          <w:rFonts w:ascii="Times New Roman" w:eastAsia="Times New Roman" w:hAnsi="Times New Roman" w:cs="Times New Roman"/>
          <w:color w:val="000000"/>
          <w:sz w:val="24"/>
          <w:szCs w:val="24"/>
          <w:lang w:eastAsia="fr-FR"/>
        </w:rPr>
        <w:t>Assal</w:t>
      </w:r>
      <w:proofErr w:type="spellEnd"/>
      <w:r w:rsidRPr="001F05B2">
        <w:rPr>
          <w:rFonts w:ascii="Times New Roman" w:eastAsia="Times New Roman" w:hAnsi="Times New Roman" w:cs="Times New Roman"/>
          <w:color w:val="000000"/>
          <w:sz w:val="24"/>
          <w:szCs w:val="24"/>
          <w:lang w:eastAsia="fr-FR"/>
        </w:rPr>
        <w:t xml:space="preserve"> mettait son art de la métaphore et son goût pour la mise en scène, au service du développement de l’empathie des soignants. Le mot « empathie » n’était pas encore à la mode, mais à </w:t>
      </w:r>
      <w:proofErr w:type="spellStart"/>
      <w:r w:rsidRPr="001F05B2">
        <w:rPr>
          <w:rFonts w:ascii="Times New Roman" w:eastAsia="Times New Roman" w:hAnsi="Times New Roman" w:cs="Times New Roman"/>
          <w:color w:val="000000"/>
          <w:sz w:val="24"/>
          <w:szCs w:val="24"/>
          <w:lang w:eastAsia="fr-FR"/>
        </w:rPr>
        <w:t>Grimentz</w:t>
      </w:r>
      <w:proofErr w:type="spellEnd"/>
      <w:r w:rsidRPr="001F05B2">
        <w:rPr>
          <w:rFonts w:ascii="Times New Roman" w:eastAsia="Times New Roman" w:hAnsi="Times New Roman" w:cs="Times New Roman"/>
          <w:color w:val="000000"/>
          <w:sz w:val="24"/>
          <w:szCs w:val="24"/>
          <w:lang w:eastAsia="fr-FR"/>
        </w:rPr>
        <w:t xml:space="preserve">, J.-Ph. </w:t>
      </w:r>
      <w:proofErr w:type="spellStart"/>
      <w:r w:rsidRPr="001F05B2">
        <w:rPr>
          <w:rFonts w:ascii="Times New Roman" w:eastAsia="Times New Roman" w:hAnsi="Times New Roman" w:cs="Times New Roman"/>
          <w:color w:val="000000"/>
          <w:sz w:val="24"/>
          <w:szCs w:val="24"/>
          <w:lang w:eastAsia="fr-FR"/>
        </w:rPr>
        <w:t>Assal</w:t>
      </w:r>
      <w:proofErr w:type="spellEnd"/>
      <w:r w:rsidRPr="001F05B2">
        <w:rPr>
          <w:rFonts w:ascii="Times New Roman" w:eastAsia="Times New Roman" w:hAnsi="Times New Roman" w:cs="Times New Roman"/>
          <w:color w:val="000000"/>
          <w:sz w:val="24"/>
          <w:szCs w:val="24"/>
          <w:lang w:eastAsia="fr-FR"/>
        </w:rPr>
        <w:t xml:space="preserve"> cherchait à la développer en faisant vivre aux soignants participants aux séminaires, l’angoisse du geste à risque dont on n’a pas l’habitude (accrocher une cloche autour du cou d’une vache dotée de belles cornes), la peur de s’égarer dans la montagne comme le patient qui doit apprendre à se débrouiller seul à la sortie de l’hôpital, les difficultés de celui qui doit se déplacer en chaise dans le village comme le patient amputé, ou aller acheter son pain dans une boulangerie les yeux bandés comme un aveugle… Chaque épreuve était suivie d’un « débriefing ».</w:t>
      </w:r>
      <w:r w:rsidRPr="001F05B2">
        <w:rPr>
          <w:rFonts w:ascii="Times New Roman" w:eastAsia="Times New Roman" w:hAnsi="Times New Roman" w:cs="Times New Roman"/>
          <w:color w:val="000000"/>
          <w:sz w:val="24"/>
          <w:szCs w:val="24"/>
          <w:lang w:eastAsia="fr-FR"/>
        </w:rPr>
        <w:br/>
        <w:t>En 1996, il écrivit un article sur le </w:t>
      </w:r>
      <w:r w:rsidRPr="001F05B2">
        <w:rPr>
          <w:rFonts w:ascii="Times New Roman" w:eastAsia="Times New Roman" w:hAnsi="Times New Roman" w:cs="Times New Roman"/>
          <w:i/>
          <w:iCs/>
          <w:color w:val="000000"/>
          <w:sz w:val="24"/>
          <w:szCs w:val="24"/>
          <w:lang w:eastAsia="fr-FR"/>
        </w:rPr>
        <w:t>« Traitement des maladies de longue durée : de la phase aiguë au stade de la chronicité. Une autre gestion de la maladie, un autre processus de prise en charge »</w:t>
      </w:r>
      <w:r w:rsidRPr="001F05B2">
        <w:rPr>
          <w:rFonts w:ascii="Times New Roman" w:eastAsia="Times New Roman" w:hAnsi="Times New Roman" w:cs="Times New Roman"/>
          <w:color w:val="000000"/>
          <w:sz w:val="24"/>
          <w:szCs w:val="24"/>
          <w:lang w:eastAsia="fr-FR"/>
        </w:rPr>
        <w:t> </w:t>
      </w:r>
      <w:proofErr w:type="gramStart"/>
      <w:r w:rsidRPr="001F05B2">
        <w:rPr>
          <w:rFonts w:ascii="Times New Roman" w:eastAsia="Times New Roman" w:hAnsi="Times New Roman" w:cs="Times New Roman"/>
          <w:color w:val="000000"/>
          <w:sz w:val="24"/>
          <w:szCs w:val="24"/>
          <w:lang w:eastAsia="fr-FR"/>
        </w:rPr>
        <w:t>[ 49</w:t>
      </w:r>
      <w:proofErr w:type="gramEnd"/>
      <w:r w:rsidRPr="001F05B2">
        <w:rPr>
          <w:rFonts w:ascii="Times New Roman" w:eastAsia="Times New Roman" w:hAnsi="Times New Roman" w:cs="Times New Roman"/>
          <w:color w:val="000000"/>
          <w:sz w:val="24"/>
          <w:szCs w:val="24"/>
          <w:lang w:eastAsia="fr-FR"/>
        </w:rPr>
        <w:t xml:space="preserve"> ] où il opposait, point par point, maladie aiguë et maladie chronique. L’article sera traduit et diffusé à travers le monde. En 1998, A. Lacroix et J.-Ph. </w:t>
      </w:r>
      <w:proofErr w:type="spellStart"/>
      <w:r w:rsidRPr="001F05B2">
        <w:rPr>
          <w:rFonts w:ascii="Times New Roman" w:eastAsia="Times New Roman" w:hAnsi="Times New Roman" w:cs="Times New Roman"/>
          <w:color w:val="000000"/>
          <w:sz w:val="24"/>
          <w:szCs w:val="24"/>
          <w:lang w:eastAsia="fr-FR"/>
        </w:rPr>
        <w:t>Assal</w:t>
      </w:r>
      <w:proofErr w:type="spellEnd"/>
      <w:r w:rsidRPr="001F05B2">
        <w:rPr>
          <w:rFonts w:ascii="Times New Roman" w:eastAsia="Times New Roman" w:hAnsi="Times New Roman" w:cs="Times New Roman"/>
          <w:color w:val="000000"/>
          <w:sz w:val="24"/>
          <w:szCs w:val="24"/>
          <w:lang w:eastAsia="fr-FR"/>
        </w:rPr>
        <w:t xml:space="preserve"> publient un livre </w:t>
      </w:r>
      <w:r w:rsidRPr="001F05B2">
        <w:rPr>
          <w:rFonts w:ascii="Times New Roman" w:eastAsia="Times New Roman" w:hAnsi="Times New Roman" w:cs="Times New Roman"/>
          <w:i/>
          <w:iCs/>
          <w:color w:val="000000"/>
          <w:sz w:val="24"/>
          <w:szCs w:val="24"/>
          <w:lang w:eastAsia="fr-FR"/>
        </w:rPr>
        <w:t>« L’Éducation thérapeutique des patients »</w:t>
      </w:r>
      <w:r w:rsidRPr="001F05B2">
        <w:rPr>
          <w:rFonts w:ascii="Times New Roman" w:eastAsia="Times New Roman" w:hAnsi="Times New Roman" w:cs="Times New Roman"/>
          <w:color w:val="000000"/>
          <w:sz w:val="24"/>
          <w:szCs w:val="24"/>
          <w:lang w:eastAsia="fr-FR"/>
        </w:rPr>
        <w:t> </w:t>
      </w:r>
      <w:proofErr w:type="gramStart"/>
      <w:r w:rsidRPr="001F05B2">
        <w:rPr>
          <w:rFonts w:ascii="Times New Roman" w:eastAsia="Times New Roman" w:hAnsi="Times New Roman" w:cs="Times New Roman"/>
          <w:color w:val="000000"/>
          <w:sz w:val="24"/>
          <w:szCs w:val="24"/>
          <w:lang w:eastAsia="fr-FR"/>
        </w:rPr>
        <w:t>[ 50</w:t>
      </w:r>
      <w:proofErr w:type="gramEnd"/>
      <w:r w:rsidRPr="001F05B2">
        <w:rPr>
          <w:rFonts w:ascii="Times New Roman" w:eastAsia="Times New Roman" w:hAnsi="Times New Roman" w:cs="Times New Roman"/>
          <w:color w:val="000000"/>
          <w:sz w:val="24"/>
          <w:szCs w:val="24"/>
          <w:lang w:eastAsia="fr-FR"/>
        </w:rPr>
        <w:t xml:space="preserve"> ], qui résume 20 ans d’expériences et montre la double face de l’ETP : d’une part, l’apprentissage pour acquérir des compétences, d’autre part, l’expression du vécu pour reconstruire une identité blessée par la maladie. Ils insistent : </w:t>
      </w:r>
      <w:r w:rsidRPr="001F05B2">
        <w:rPr>
          <w:rFonts w:ascii="Times New Roman" w:eastAsia="Times New Roman" w:hAnsi="Times New Roman" w:cs="Times New Roman"/>
          <w:i/>
          <w:iCs/>
          <w:color w:val="000000"/>
          <w:sz w:val="24"/>
          <w:szCs w:val="24"/>
          <w:lang w:eastAsia="fr-FR"/>
        </w:rPr>
        <w:t>« Il s’agit d’acquérir plus que des connaissances et des compétences… »</w:t>
      </w:r>
      <w:r w:rsidRPr="001F05B2">
        <w:rPr>
          <w:rFonts w:ascii="Times New Roman" w:eastAsia="Times New Roman" w:hAnsi="Times New Roman" w:cs="Times New Roman"/>
          <w:color w:val="000000"/>
          <w:sz w:val="24"/>
          <w:szCs w:val="24"/>
          <w:lang w:eastAsia="fr-FR"/>
        </w:rPr>
        <w:t>, en participant à</w:t>
      </w:r>
      <w:r w:rsidRPr="001F05B2">
        <w:rPr>
          <w:rFonts w:ascii="Times New Roman" w:eastAsia="Times New Roman" w:hAnsi="Times New Roman" w:cs="Times New Roman"/>
          <w:i/>
          <w:iCs/>
          <w:color w:val="000000"/>
          <w:sz w:val="24"/>
          <w:szCs w:val="24"/>
          <w:lang w:eastAsia="fr-FR"/>
        </w:rPr>
        <w:t> « un mouvement d’individuation autorisé par le cadre qui fonctionne comme conteneur de l’angoisse latente »</w:t>
      </w:r>
      <w:r w:rsidRPr="001F05B2">
        <w:rPr>
          <w:rFonts w:ascii="Times New Roman" w:eastAsia="Times New Roman" w:hAnsi="Times New Roman" w:cs="Times New Roman"/>
          <w:color w:val="000000"/>
          <w:sz w:val="24"/>
          <w:szCs w:val="24"/>
          <w:lang w:eastAsia="fr-FR"/>
        </w:rPr>
        <w:t> car </w:t>
      </w:r>
      <w:r w:rsidRPr="001F05B2">
        <w:rPr>
          <w:rFonts w:ascii="Times New Roman" w:eastAsia="Times New Roman" w:hAnsi="Times New Roman" w:cs="Times New Roman"/>
          <w:i/>
          <w:iCs/>
          <w:color w:val="000000"/>
          <w:sz w:val="24"/>
          <w:szCs w:val="24"/>
          <w:lang w:eastAsia="fr-FR"/>
        </w:rPr>
        <w:t>« la verbalisation de son vécu par le malade produit une ouverture dans le sentiment d’isolement provoqué par la maladie »</w:t>
      </w:r>
      <w:r w:rsidRPr="001F05B2">
        <w:rPr>
          <w:rFonts w:ascii="Times New Roman" w:eastAsia="Times New Roman" w:hAnsi="Times New Roman" w:cs="Times New Roman"/>
          <w:color w:val="000000"/>
          <w:sz w:val="24"/>
          <w:szCs w:val="24"/>
          <w:lang w:eastAsia="fr-FR"/>
        </w:rPr>
        <w:t xml:space="preserve">. En 2000, avec le metteur en scène Marcos </w:t>
      </w:r>
      <w:proofErr w:type="spellStart"/>
      <w:r w:rsidRPr="001F05B2">
        <w:rPr>
          <w:rFonts w:ascii="Times New Roman" w:eastAsia="Times New Roman" w:hAnsi="Times New Roman" w:cs="Times New Roman"/>
          <w:color w:val="000000"/>
          <w:sz w:val="24"/>
          <w:szCs w:val="24"/>
          <w:lang w:eastAsia="fr-FR"/>
        </w:rPr>
        <w:t>Malavia</w:t>
      </w:r>
      <w:proofErr w:type="spellEnd"/>
      <w:r w:rsidRPr="001F05B2">
        <w:rPr>
          <w:rFonts w:ascii="Times New Roman" w:eastAsia="Times New Roman" w:hAnsi="Times New Roman" w:cs="Times New Roman"/>
          <w:color w:val="000000"/>
          <w:sz w:val="24"/>
          <w:szCs w:val="24"/>
          <w:lang w:eastAsia="fr-FR"/>
        </w:rPr>
        <w:t xml:space="preserve">, J-Ph. </w:t>
      </w:r>
      <w:proofErr w:type="spellStart"/>
      <w:r w:rsidRPr="001F05B2">
        <w:rPr>
          <w:rFonts w:ascii="Times New Roman" w:eastAsia="Times New Roman" w:hAnsi="Times New Roman" w:cs="Times New Roman"/>
          <w:color w:val="000000"/>
          <w:sz w:val="24"/>
          <w:szCs w:val="24"/>
          <w:lang w:eastAsia="fr-FR"/>
        </w:rPr>
        <w:t>Assal</w:t>
      </w:r>
      <w:proofErr w:type="spellEnd"/>
      <w:r w:rsidRPr="001F05B2">
        <w:rPr>
          <w:rFonts w:ascii="Times New Roman" w:eastAsia="Times New Roman" w:hAnsi="Times New Roman" w:cs="Times New Roman"/>
          <w:color w:val="000000"/>
          <w:sz w:val="24"/>
          <w:szCs w:val="24"/>
          <w:lang w:eastAsia="fr-FR"/>
        </w:rPr>
        <w:t xml:space="preserve"> crée le </w:t>
      </w:r>
      <w:r w:rsidRPr="001F05B2">
        <w:rPr>
          <w:rFonts w:ascii="Times New Roman" w:eastAsia="Times New Roman" w:hAnsi="Times New Roman" w:cs="Times New Roman"/>
          <w:i/>
          <w:iCs/>
          <w:color w:val="000000"/>
          <w:sz w:val="24"/>
          <w:szCs w:val="24"/>
          <w:lang w:eastAsia="fr-FR"/>
        </w:rPr>
        <w:t>« Théâtre du vécu »</w:t>
      </w:r>
      <w:r w:rsidRPr="001F05B2">
        <w:rPr>
          <w:rFonts w:ascii="Times New Roman" w:eastAsia="Times New Roman" w:hAnsi="Times New Roman" w:cs="Times New Roman"/>
          <w:color w:val="000000"/>
          <w:sz w:val="24"/>
          <w:szCs w:val="24"/>
          <w:lang w:eastAsia="fr-FR"/>
        </w:rPr>
        <w:t> </w:t>
      </w:r>
      <w:proofErr w:type="gramStart"/>
      <w:r w:rsidRPr="001F05B2">
        <w:rPr>
          <w:rFonts w:ascii="Times New Roman" w:eastAsia="Times New Roman" w:hAnsi="Times New Roman" w:cs="Times New Roman"/>
          <w:color w:val="000000"/>
          <w:sz w:val="24"/>
          <w:szCs w:val="24"/>
          <w:lang w:eastAsia="fr-FR"/>
        </w:rPr>
        <w:t>[ 51</w:t>
      </w:r>
      <w:proofErr w:type="gramEnd"/>
      <w:r w:rsidRPr="001F05B2">
        <w:rPr>
          <w:rFonts w:ascii="Times New Roman" w:eastAsia="Times New Roman" w:hAnsi="Times New Roman" w:cs="Times New Roman"/>
          <w:color w:val="000000"/>
          <w:sz w:val="24"/>
          <w:szCs w:val="24"/>
          <w:lang w:eastAsia="fr-FR"/>
        </w:rPr>
        <w:t xml:space="preserve"> ], permettant au patient, à la fois d’exprimer un vécu important pour lui, et d’en prendre distance en étant tour à tour, le sujet, l’auteur, le metteur en scène, et le spectateur, de ce vécu joué par des comédiens professionnels.</w:t>
      </w:r>
      <w:r w:rsidRPr="001F05B2">
        <w:rPr>
          <w:rFonts w:ascii="Times New Roman" w:eastAsia="Times New Roman" w:hAnsi="Times New Roman" w:cs="Times New Roman"/>
          <w:color w:val="000000"/>
          <w:sz w:val="24"/>
          <w:szCs w:val="24"/>
          <w:lang w:eastAsia="fr-FR"/>
        </w:rPr>
        <w:br/>
        <w:t xml:space="preserve">• Mais, parallèlement, à partir des années 1970, s’est développée l’approche par compétences (savoir, savoir-faire, savoir être) objectivables, et donc évaluables [ 52 ]. Mélange de taylorisme et de pédagogie constructiviste, cette approche s’est généralisée dans l’éducation tout au long de la vie, de l’école maternelle à la formation professionnelle, en passant par l’école primaire, le collège, et l’université, dont les facultés de médecine. Venue des États-Unis (dans les années 1970) et du Canada (dans les années 1990), elle a gagné l’Europe. Elle est aujourd’hui promue par l’Organisation de développement et de coopération économiques (OCDE) </w:t>
      </w:r>
      <w:proofErr w:type="gramStart"/>
      <w:r w:rsidRPr="001F05B2">
        <w:rPr>
          <w:rFonts w:ascii="Times New Roman" w:eastAsia="Times New Roman" w:hAnsi="Times New Roman" w:cs="Times New Roman"/>
          <w:color w:val="000000"/>
          <w:sz w:val="24"/>
          <w:szCs w:val="24"/>
          <w:lang w:eastAsia="fr-FR"/>
        </w:rPr>
        <w:t>[ 53</w:t>
      </w:r>
      <w:proofErr w:type="gramEnd"/>
      <w:r w:rsidRPr="001F05B2">
        <w:rPr>
          <w:rFonts w:ascii="Times New Roman" w:eastAsia="Times New Roman" w:hAnsi="Times New Roman" w:cs="Times New Roman"/>
          <w:color w:val="000000"/>
          <w:sz w:val="24"/>
          <w:szCs w:val="24"/>
          <w:lang w:eastAsia="fr-FR"/>
        </w:rPr>
        <w:t xml:space="preserve"> ], et sert à organiser les enquêtes PISA (pour Programme international pour le suivi des acquis des élèves) ; sa finalité est de favoriser « </w:t>
      </w:r>
      <w:r w:rsidRPr="001F05B2">
        <w:rPr>
          <w:rFonts w:ascii="Times New Roman" w:eastAsia="Times New Roman" w:hAnsi="Times New Roman" w:cs="Times New Roman"/>
          <w:i/>
          <w:iCs/>
          <w:color w:val="000000"/>
          <w:sz w:val="24"/>
          <w:szCs w:val="24"/>
          <w:lang w:eastAsia="fr-FR"/>
        </w:rPr>
        <w:t>l’employabilité et la sociabilité […] </w:t>
      </w:r>
      <w:r w:rsidRPr="001F05B2">
        <w:rPr>
          <w:rFonts w:ascii="Times New Roman" w:eastAsia="Times New Roman" w:hAnsi="Times New Roman" w:cs="Times New Roman"/>
          <w:color w:val="000000"/>
          <w:sz w:val="24"/>
          <w:szCs w:val="24"/>
          <w:lang w:eastAsia="fr-FR"/>
        </w:rPr>
        <w:t>e</w:t>
      </w:r>
      <w:r w:rsidRPr="001F05B2">
        <w:rPr>
          <w:rFonts w:ascii="Times New Roman" w:eastAsia="Times New Roman" w:hAnsi="Times New Roman" w:cs="Times New Roman"/>
          <w:i/>
          <w:iCs/>
          <w:color w:val="000000"/>
          <w:sz w:val="24"/>
          <w:szCs w:val="24"/>
          <w:lang w:eastAsia="fr-FR"/>
        </w:rPr>
        <w:t>n encourageant les gouvernements à développer les compétences de tous les membres de la société et à garantir que ces compétences sont utilisées de façon efficace… »</w:t>
      </w:r>
      <w:r w:rsidRPr="001F05B2">
        <w:rPr>
          <w:rFonts w:ascii="Times New Roman" w:eastAsia="Times New Roman" w:hAnsi="Times New Roman" w:cs="Times New Roman"/>
          <w:color w:val="000000"/>
          <w:sz w:val="24"/>
          <w:szCs w:val="24"/>
          <w:lang w:eastAsia="fr-FR"/>
        </w:rPr>
        <w:t xml:space="preserve">. La centration sur l’acquisition de </w:t>
      </w:r>
    </w:p>
    <w:p w14:paraId="15757CFC" w14:textId="77777777" w:rsidR="00072050" w:rsidRDefault="00072050" w:rsidP="00072050">
      <w:pPr>
        <w:spacing w:after="300" w:line="240" w:lineRule="auto"/>
        <w:jc w:val="both"/>
        <w:textAlignment w:val="baseline"/>
        <w:rPr>
          <w:rFonts w:ascii="Times New Roman" w:eastAsia="Times New Roman" w:hAnsi="Times New Roman" w:cs="Times New Roman"/>
          <w:color w:val="000000"/>
          <w:sz w:val="24"/>
          <w:szCs w:val="24"/>
          <w:lang w:eastAsia="fr-FR"/>
        </w:rPr>
      </w:pPr>
    </w:p>
    <w:p w14:paraId="4ED98C72"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proofErr w:type="gramStart"/>
      <w:r w:rsidRPr="001F05B2">
        <w:rPr>
          <w:rFonts w:ascii="Times New Roman" w:eastAsia="Times New Roman" w:hAnsi="Times New Roman" w:cs="Times New Roman"/>
          <w:color w:val="000000"/>
          <w:sz w:val="24"/>
          <w:szCs w:val="24"/>
          <w:lang w:eastAsia="fr-FR"/>
        </w:rPr>
        <w:t>compétences</w:t>
      </w:r>
      <w:proofErr w:type="gramEnd"/>
      <w:r w:rsidRPr="001F05B2">
        <w:rPr>
          <w:rFonts w:ascii="Times New Roman" w:eastAsia="Times New Roman" w:hAnsi="Times New Roman" w:cs="Times New Roman"/>
          <w:color w:val="000000"/>
          <w:sz w:val="24"/>
          <w:szCs w:val="24"/>
          <w:lang w:eastAsia="fr-FR"/>
        </w:rPr>
        <w:t xml:space="preserve"> évaluables relativise, de fait, la place donnée dans l’éducation aux connaissances et à la culture. Cette approche a été adaptée à l’ETP, en France, par l’école de Bobigny, dirigée par Jean-François d’</w:t>
      </w:r>
      <w:proofErr w:type="spellStart"/>
      <w:r w:rsidRPr="001F05B2">
        <w:rPr>
          <w:rFonts w:ascii="Times New Roman" w:eastAsia="Times New Roman" w:hAnsi="Times New Roman" w:cs="Times New Roman"/>
          <w:color w:val="000000"/>
          <w:sz w:val="24"/>
          <w:szCs w:val="24"/>
          <w:lang w:eastAsia="fr-FR"/>
        </w:rPr>
        <w:t>Ivernois</w:t>
      </w:r>
      <w:proofErr w:type="spellEnd"/>
      <w:r w:rsidRPr="001F05B2">
        <w:rPr>
          <w:rFonts w:ascii="Times New Roman" w:eastAsia="Times New Roman" w:hAnsi="Times New Roman" w:cs="Times New Roman"/>
          <w:color w:val="000000"/>
          <w:sz w:val="24"/>
          <w:szCs w:val="24"/>
          <w:lang w:eastAsia="fr-FR"/>
        </w:rPr>
        <w:t xml:space="preserve"> et Rémi </w:t>
      </w:r>
      <w:proofErr w:type="spellStart"/>
      <w:r w:rsidRPr="001F05B2">
        <w:rPr>
          <w:rFonts w:ascii="Times New Roman" w:eastAsia="Times New Roman" w:hAnsi="Times New Roman" w:cs="Times New Roman"/>
          <w:color w:val="000000"/>
          <w:sz w:val="24"/>
          <w:szCs w:val="24"/>
          <w:lang w:eastAsia="fr-FR"/>
        </w:rPr>
        <w:t>Gagnayre</w:t>
      </w:r>
      <w:proofErr w:type="spellEnd"/>
      <w:r w:rsidRPr="001F05B2">
        <w:rPr>
          <w:rFonts w:ascii="Times New Roman" w:eastAsia="Times New Roman" w:hAnsi="Times New Roman" w:cs="Times New Roman"/>
          <w:color w:val="000000"/>
          <w:sz w:val="24"/>
          <w:szCs w:val="24"/>
          <w:lang w:eastAsia="fr-FR"/>
        </w:rPr>
        <w:t xml:space="preserve"> </w:t>
      </w:r>
      <w:proofErr w:type="gramStart"/>
      <w:r w:rsidRPr="001F05B2">
        <w:rPr>
          <w:rFonts w:ascii="Times New Roman" w:eastAsia="Times New Roman" w:hAnsi="Times New Roman" w:cs="Times New Roman"/>
          <w:color w:val="000000"/>
          <w:sz w:val="24"/>
          <w:szCs w:val="24"/>
          <w:lang w:eastAsia="fr-FR"/>
        </w:rPr>
        <w:t>[ 54</w:t>
      </w:r>
      <w:proofErr w:type="gramEnd"/>
      <w:r w:rsidRPr="001F05B2">
        <w:rPr>
          <w:rFonts w:ascii="Times New Roman" w:eastAsia="Times New Roman" w:hAnsi="Times New Roman" w:cs="Times New Roman"/>
          <w:color w:val="000000"/>
          <w:sz w:val="24"/>
          <w:szCs w:val="24"/>
          <w:lang w:eastAsia="fr-FR"/>
        </w:rPr>
        <w:t xml:space="preserve"> 55 56 ]. Selon ce modèle, l’ETP vise à l’acquisition de fonctionnalités multiples séparées en deux grandes catégories : les compétences d’</w:t>
      </w:r>
      <w:proofErr w:type="spellStart"/>
      <w:r w:rsidRPr="001F05B2">
        <w:rPr>
          <w:rFonts w:ascii="Times New Roman" w:eastAsia="Times New Roman" w:hAnsi="Times New Roman" w:cs="Times New Roman"/>
          <w:color w:val="000000"/>
          <w:sz w:val="24"/>
          <w:szCs w:val="24"/>
          <w:lang w:eastAsia="fr-FR"/>
        </w:rPr>
        <w:t>auto-soins</w:t>
      </w:r>
      <w:proofErr w:type="spellEnd"/>
      <w:r w:rsidRPr="001F05B2">
        <w:rPr>
          <w:rFonts w:ascii="Times New Roman" w:eastAsia="Times New Roman" w:hAnsi="Times New Roman" w:cs="Times New Roman"/>
          <w:color w:val="000000"/>
          <w:sz w:val="24"/>
          <w:szCs w:val="24"/>
          <w:lang w:eastAsia="fr-FR"/>
        </w:rPr>
        <w:t>, bien sûr, mais aussi « les compétences d’adaptation à la maladie », compétences déclinées elles-mêmes en « objectifs pédagogiques spécifiques ». Ainsi, tout devient « compétences », aussi bien </w:t>
      </w:r>
      <w:r w:rsidRPr="001F05B2">
        <w:rPr>
          <w:rFonts w:ascii="Times New Roman" w:eastAsia="Times New Roman" w:hAnsi="Times New Roman" w:cs="Times New Roman"/>
          <w:i/>
          <w:iCs/>
          <w:color w:val="000000"/>
          <w:sz w:val="24"/>
          <w:szCs w:val="24"/>
          <w:lang w:eastAsia="fr-FR"/>
        </w:rPr>
        <w:t>« mesurer sa glycémie »</w:t>
      </w:r>
      <w:r w:rsidRPr="001F05B2">
        <w:rPr>
          <w:rFonts w:ascii="Times New Roman" w:eastAsia="Times New Roman" w:hAnsi="Times New Roman" w:cs="Times New Roman"/>
          <w:color w:val="000000"/>
          <w:sz w:val="24"/>
          <w:szCs w:val="24"/>
          <w:lang w:eastAsia="fr-FR"/>
        </w:rPr>
        <w:t> et </w:t>
      </w:r>
      <w:r w:rsidRPr="001F05B2">
        <w:rPr>
          <w:rFonts w:ascii="Times New Roman" w:eastAsia="Times New Roman" w:hAnsi="Times New Roman" w:cs="Times New Roman"/>
          <w:i/>
          <w:iCs/>
          <w:color w:val="000000"/>
          <w:sz w:val="24"/>
          <w:szCs w:val="24"/>
          <w:lang w:eastAsia="fr-FR"/>
        </w:rPr>
        <w:t>« adapter son traitement… »</w:t>
      </w:r>
      <w:r w:rsidRPr="001F05B2">
        <w:rPr>
          <w:rFonts w:ascii="Times New Roman" w:eastAsia="Times New Roman" w:hAnsi="Times New Roman" w:cs="Times New Roman"/>
          <w:color w:val="000000"/>
          <w:sz w:val="24"/>
          <w:szCs w:val="24"/>
          <w:lang w:eastAsia="fr-FR"/>
        </w:rPr>
        <w:t> que </w:t>
      </w:r>
      <w:r w:rsidRPr="001F05B2">
        <w:rPr>
          <w:rFonts w:ascii="Times New Roman" w:eastAsia="Times New Roman" w:hAnsi="Times New Roman" w:cs="Times New Roman"/>
          <w:i/>
          <w:iCs/>
          <w:color w:val="000000"/>
          <w:sz w:val="24"/>
          <w:szCs w:val="24"/>
          <w:lang w:eastAsia="fr-FR"/>
        </w:rPr>
        <w:t>« participer à la vie des associations »</w:t>
      </w:r>
      <w:r w:rsidRPr="001F05B2">
        <w:rPr>
          <w:rFonts w:ascii="Times New Roman" w:eastAsia="Times New Roman" w:hAnsi="Times New Roman" w:cs="Times New Roman"/>
          <w:color w:val="000000"/>
          <w:sz w:val="24"/>
          <w:szCs w:val="24"/>
          <w:lang w:eastAsia="fr-FR"/>
        </w:rPr>
        <w:t> ou </w:t>
      </w:r>
      <w:r w:rsidRPr="001F05B2">
        <w:rPr>
          <w:rFonts w:ascii="Times New Roman" w:eastAsia="Times New Roman" w:hAnsi="Times New Roman" w:cs="Times New Roman"/>
          <w:i/>
          <w:iCs/>
          <w:color w:val="000000"/>
          <w:sz w:val="24"/>
          <w:szCs w:val="24"/>
          <w:lang w:eastAsia="fr-FR"/>
        </w:rPr>
        <w:t>« exprimer ses valeurs, ses projets, ses connaissances, ses attentes, ses émotions »</w:t>
      </w:r>
      <w:r w:rsidRPr="001F05B2">
        <w:rPr>
          <w:rFonts w:ascii="Times New Roman" w:eastAsia="Times New Roman" w:hAnsi="Times New Roman" w:cs="Times New Roman"/>
          <w:color w:val="000000"/>
          <w:sz w:val="24"/>
          <w:szCs w:val="24"/>
          <w:lang w:eastAsia="fr-FR"/>
        </w:rPr>
        <w:t>, voire </w:t>
      </w:r>
      <w:r w:rsidRPr="001F05B2">
        <w:rPr>
          <w:rFonts w:ascii="Times New Roman" w:eastAsia="Times New Roman" w:hAnsi="Times New Roman" w:cs="Times New Roman"/>
          <w:i/>
          <w:iCs/>
          <w:color w:val="000000"/>
          <w:sz w:val="24"/>
          <w:szCs w:val="24"/>
          <w:lang w:eastAsia="fr-FR"/>
        </w:rPr>
        <w:t>« expliquer ses motifs d’adhésion ou de non adhésion au traitement » « se dire »</w:t>
      </w:r>
      <w:r w:rsidRPr="001F05B2">
        <w:rPr>
          <w:rFonts w:ascii="Times New Roman" w:eastAsia="Times New Roman" w:hAnsi="Times New Roman" w:cs="Times New Roman"/>
          <w:color w:val="000000"/>
          <w:sz w:val="24"/>
          <w:szCs w:val="24"/>
          <w:lang w:eastAsia="fr-FR"/>
        </w:rPr>
        <w:t> et </w:t>
      </w:r>
      <w:r w:rsidRPr="001F05B2">
        <w:rPr>
          <w:rFonts w:ascii="Times New Roman" w:eastAsia="Times New Roman" w:hAnsi="Times New Roman" w:cs="Times New Roman"/>
          <w:i/>
          <w:iCs/>
          <w:color w:val="000000"/>
          <w:sz w:val="24"/>
          <w:szCs w:val="24"/>
          <w:lang w:eastAsia="fr-FR"/>
        </w:rPr>
        <w:t>« gérer le sentiment d’incertitude vis-à-vis de l’évolution de la maladie… »</w:t>
      </w:r>
      <w:r w:rsidRPr="001F05B2">
        <w:rPr>
          <w:rFonts w:ascii="Times New Roman" w:eastAsia="Times New Roman" w:hAnsi="Times New Roman" w:cs="Times New Roman"/>
          <w:color w:val="000000"/>
          <w:sz w:val="24"/>
          <w:szCs w:val="24"/>
          <w:lang w:eastAsia="fr-FR"/>
        </w:rPr>
        <w:t>. Ces compétences « tous azimuts » s’expriment en effet par des verbes d’action, car « dans la rédaction des compétences et des objectifs qui y conduisent, le choix du verbe est important. </w:t>
      </w:r>
      <w:r w:rsidRPr="001F05B2">
        <w:rPr>
          <w:rFonts w:ascii="Times New Roman" w:eastAsia="Times New Roman" w:hAnsi="Times New Roman" w:cs="Times New Roman"/>
          <w:color w:val="000000"/>
          <w:sz w:val="24"/>
          <w:szCs w:val="24"/>
          <w:u w:val="single"/>
          <w:lang w:eastAsia="fr-FR"/>
        </w:rPr>
        <w:t xml:space="preserve">Il doit être précis, clair univoque, c’est-à-dire compréhensible de la même façon pour tous ; il exprime une action mesurable. L’équipe des éducateurs doit parvenir à un accord, excluant toute ambiguïté sur ce que l’on souhaite que le patient sache et sache </w:t>
      </w:r>
      <w:proofErr w:type="gramStart"/>
      <w:r w:rsidRPr="001F05B2">
        <w:rPr>
          <w:rFonts w:ascii="Times New Roman" w:eastAsia="Times New Roman" w:hAnsi="Times New Roman" w:cs="Times New Roman"/>
          <w:color w:val="000000"/>
          <w:sz w:val="24"/>
          <w:szCs w:val="24"/>
          <w:u w:val="single"/>
          <w:lang w:eastAsia="fr-FR"/>
        </w:rPr>
        <w:t>faire</w:t>
      </w:r>
      <w:r w:rsidRPr="001F05B2">
        <w:rPr>
          <w:rFonts w:ascii="Times New Roman" w:eastAsia="Times New Roman" w:hAnsi="Times New Roman" w:cs="Times New Roman"/>
          <w:i/>
          <w:iCs/>
          <w:color w:val="000000"/>
          <w:sz w:val="24"/>
          <w:szCs w:val="24"/>
          <w:lang w:eastAsia="fr-FR"/>
        </w:rPr>
        <w:t>»</w:t>
      </w:r>
      <w:proofErr w:type="gramEnd"/>
      <w:r w:rsidRPr="001F05B2">
        <w:rPr>
          <w:rFonts w:ascii="Times New Roman" w:eastAsia="Times New Roman" w:hAnsi="Times New Roman" w:cs="Times New Roman"/>
          <w:color w:val="000000"/>
          <w:sz w:val="24"/>
          <w:szCs w:val="24"/>
          <w:lang w:eastAsia="fr-FR"/>
        </w:rPr>
        <w:t> (c’est nous qui soulignons). Comme si l’adaptation était mesurable, et comme si elle relevait de la pédagogie et pas seulement de la relation ! Quoi qu’il en soit, de ce travail collégial sur la définition des objectifs et des compétences, le patient est, dans un premier temps, exclu. Dans un deuxième temps, l’équipe soignante lui présente les objectifs fixés et </w:t>
      </w:r>
      <w:r w:rsidRPr="001F05B2">
        <w:rPr>
          <w:rFonts w:ascii="Times New Roman" w:eastAsia="Times New Roman" w:hAnsi="Times New Roman" w:cs="Times New Roman"/>
          <w:i/>
          <w:iCs/>
          <w:color w:val="000000"/>
          <w:sz w:val="24"/>
          <w:szCs w:val="24"/>
          <w:lang w:eastAsia="fr-FR"/>
        </w:rPr>
        <w:t>« clairement validés »</w:t>
      </w:r>
      <w:r w:rsidRPr="001F05B2">
        <w:rPr>
          <w:rFonts w:ascii="Times New Roman" w:eastAsia="Times New Roman" w:hAnsi="Times New Roman" w:cs="Times New Roman"/>
          <w:color w:val="000000"/>
          <w:sz w:val="24"/>
          <w:szCs w:val="24"/>
          <w:lang w:eastAsia="fr-FR"/>
        </w:rPr>
        <w:t> par elle.</w:t>
      </w:r>
      <w:r w:rsidRPr="001F05B2">
        <w:rPr>
          <w:rFonts w:ascii="Times New Roman" w:eastAsia="Times New Roman" w:hAnsi="Times New Roman" w:cs="Times New Roman"/>
          <w:i/>
          <w:iCs/>
          <w:color w:val="000000"/>
          <w:sz w:val="24"/>
          <w:szCs w:val="24"/>
          <w:lang w:eastAsia="fr-FR"/>
        </w:rPr>
        <w:t> « Ces compétences à atteindre au terme de l’éducation thérapeutique sont expliqués et négociées dans le cadre d’un contrat d’éducation entre l’équipe et le patient »</w:t>
      </w:r>
      <w:r w:rsidRPr="001F05B2">
        <w:rPr>
          <w:rFonts w:ascii="Times New Roman" w:eastAsia="Times New Roman" w:hAnsi="Times New Roman" w:cs="Times New Roman"/>
          <w:color w:val="000000"/>
          <w:sz w:val="24"/>
          <w:szCs w:val="24"/>
          <w:lang w:eastAsia="fr-FR"/>
        </w:rPr>
        <w:t> ; </w:t>
      </w:r>
      <w:r w:rsidRPr="001F05B2">
        <w:rPr>
          <w:rFonts w:ascii="Times New Roman" w:eastAsia="Times New Roman" w:hAnsi="Times New Roman" w:cs="Times New Roman"/>
          <w:i/>
          <w:iCs/>
          <w:color w:val="000000"/>
          <w:sz w:val="24"/>
          <w:szCs w:val="24"/>
          <w:lang w:eastAsia="fr-FR"/>
        </w:rPr>
        <w:t>« Ce contrat à valeur d’engagement mutuel et renforce la motivation des deux parties contractantes »</w:t>
      </w:r>
      <w:r w:rsidRPr="001F05B2">
        <w:rPr>
          <w:rFonts w:ascii="Times New Roman" w:eastAsia="Times New Roman" w:hAnsi="Times New Roman" w:cs="Times New Roman"/>
          <w:color w:val="000000"/>
          <w:sz w:val="24"/>
          <w:szCs w:val="24"/>
          <w:lang w:eastAsia="fr-FR"/>
        </w:rPr>
        <w:t xml:space="preserve">. Dans cette conception, tout se passe comme si la maladie était extérieure au malade, comme si se traiter devenait une sorte de métier, et comme si le patient était transparent à lui-même. </w:t>
      </w:r>
      <w:proofErr w:type="gramStart"/>
      <w:r w:rsidRPr="001F05B2">
        <w:rPr>
          <w:rFonts w:ascii="Times New Roman" w:eastAsia="Times New Roman" w:hAnsi="Times New Roman" w:cs="Times New Roman"/>
          <w:color w:val="000000"/>
          <w:sz w:val="24"/>
          <w:szCs w:val="24"/>
          <w:lang w:eastAsia="fr-FR"/>
        </w:rPr>
        <w:t>Exit ,</w:t>
      </w:r>
      <w:proofErr w:type="gramEnd"/>
      <w:r w:rsidRPr="001F05B2">
        <w:rPr>
          <w:rFonts w:ascii="Times New Roman" w:eastAsia="Times New Roman" w:hAnsi="Times New Roman" w:cs="Times New Roman"/>
          <w:color w:val="000000"/>
          <w:sz w:val="24"/>
          <w:szCs w:val="24"/>
          <w:lang w:eastAsia="fr-FR"/>
        </w:rPr>
        <w:t xml:space="preserve"> le traumatisme psychique de l’annonce, exit les plus ou moins grandes difficultés de l’acceptation, exit les mécanismes de défense et les « ruses de la raison » trouvant des explications rationnelles à nos comportements irrationnels, exit le vécu émotionnel et son approche narrative et, finalement, exit la relation, thérapeutique par elle-même. Dans « la vraie vie », un contrat portant sur des objectifs précis, réalistes, mesurables, n’est – au mieux – possible que dans la moitié des cas, et il ne s’agit jamais d’un contrat entre l’équipe soignante et le patient, mais d’un contrat du patient avec lui-même, celui-ci gardant la liberté de réaliser ou pas ce qu’il avait pourtant lui-même décidé de faire. Ceci suppose que le patient soit totalement impliqué, dès le début, dans la définition des objectifs, susceptibles d’ailleurs de changer tout au long du processus d’éducation et du développement de la relation. Le modèle, non pas de la compétence, mais « des compétences objectivables », applique au soin la logique du taylorisme multipliant les micro-compétences (une </w:t>
      </w:r>
      <w:proofErr w:type="spellStart"/>
      <w:r w:rsidRPr="001F05B2">
        <w:rPr>
          <w:rFonts w:ascii="Times New Roman" w:eastAsia="Times New Roman" w:hAnsi="Times New Roman" w:cs="Times New Roman"/>
          <w:color w:val="000000"/>
          <w:sz w:val="24"/>
          <w:szCs w:val="24"/>
          <w:lang w:eastAsia="fr-FR"/>
        </w:rPr>
        <w:t>psycho-pédagogue</w:t>
      </w:r>
      <w:proofErr w:type="spellEnd"/>
      <w:r w:rsidRPr="001F05B2">
        <w:rPr>
          <w:rFonts w:ascii="Times New Roman" w:eastAsia="Times New Roman" w:hAnsi="Times New Roman" w:cs="Times New Roman"/>
          <w:color w:val="000000"/>
          <w:sz w:val="24"/>
          <w:szCs w:val="24"/>
          <w:lang w:eastAsia="fr-FR"/>
        </w:rPr>
        <w:t xml:space="preserve"> avait ainsi dénombré neuf micro-compétences nécessaires à un diabétique insulinodépendant pour aller faire un examen de laboratoire à jeun en ville !).</w:t>
      </w:r>
    </w:p>
    <w:p w14:paraId="69699A4E" w14:textId="5B18509D" w:rsidR="001F05B2" w:rsidRPr="001F05B2"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br/>
        <w:t xml:space="preserve">Quoi qu’il en soit, l’école de Bobigny a proposé, en 1995, de partager l’ETP en quatre « étapes » distinctes, reprises depuis dans tous les « programmes d’ETP » </w:t>
      </w:r>
      <w:proofErr w:type="gramStart"/>
      <w:r w:rsidRPr="001F05B2">
        <w:rPr>
          <w:rFonts w:ascii="Times New Roman" w:eastAsia="Times New Roman" w:hAnsi="Times New Roman" w:cs="Times New Roman"/>
          <w:color w:val="000000"/>
          <w:sz w:val="24"/>
          <w:szCs w:val="24"/>
          <w:lang w:eastAsia="fr-FR"/>
        </w:rPr>
        <w:t>[ 56</w:t>
      </w:r>
      <w:proofErr w:type="gramEnd"/>
      <w:r w:rsidRPr="001F05B2">
        <w:rPr>
          <w:rFonts w:ascii="Times New Roman" w:eastAsia="Times New Roman" w:hAnsi="Times New Roman" w:cs="Times New Roman"/>
          <w:color w:val="000000"/>
          <w:sz w:val="24"/>
          <w:szCs w:val="24"/>
          <w:lang w:eastAsia="fr-FR"/>
        </w:rPr>
        <w:t xml:space="preserve"> ] :</w:t>
      </w:r>
    </w:p>
    <w:p w14:paraId="1351A397" w14:textId="633BC483" w:rsidR="001F05B2" w:rsidRPr="001F05B2" w:rsidRDefault="00072050"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Étape</w:t>
      </w:r>
      <w:r w:rsidR="001F05B2" w:rsidRPr="001F05B2">
        <w:rPr>
          <w:rFonts w:ascii="Times New Roman" w:eastAsia="Times New Roman" w:hAnsi="Times New Roman" w:cs="Times New Roman"/>
          <w:color w:val="000000"/>
          <w:sz w:val="24"/>
          <w:szCs w:val="24"/>
          <w:lang w:eastAsia="fr-FR"/>
        </w:rPr>
        <w:t xml:space="preserve"> 1 : l’identification des besoins par un diagnostic éducatif réalisé à l’aide d’un guide d’entretien ;</w:t>
      </w:r>
    </w:p>
    <w:p w14:paraId="3DFD97FF" w14:textId="0F792D5E" w:rsidR="001F05B2" w:rsidRPr="001F05B2" w:rsidRDefault="00072050"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Étape</w:t>
      </w:r>
      <w:r w:rsidR="001F05B2" w:rsidRPr="001F05B2">
        <w:rPr>
          <w:rFonts w:ascii="Times New Roman" w:eastAsia="Times New Roman" w:hAnsi="Times New Roman" w:cs="Times New Roman"/>
          <w:color w:val="000000"/>
          <w:sz w:val="24"/>
          <w:szCs w:val="24"/>
          <w:lang w:eastAsia="fr-FR"/>
        </w:rPr>
        <w:t xml:space="preserve"> 2 : la définition des compétences « que l’on veut faire atteindre au patient au terme de son éducation » et réalisation d’un « contrat » ;</w:t>
      </w:r>
    </w:p>
    <w:p w14:paraId="1CF946F7" w14:textId="77777777" w:rsidR="00072050" w:rsidRDefault="00072050" w:rsidP="00072050">
      <w:pPr>
        <w:spacing w:after="300" w:line="240" w:lineRule="auto"/>
        <w:jc w:val="both"/>
        <w:textAlignment w:val="baseline"/>
        <w:rPr>
          <w:rFonts w:ascii="Times New Roman" w:eastAsia="Times New Roman" w:hAnsi="Times New Roman" w:cs="Times New Roman"/>
          <w:color w:val="000000"/>
          <w:sz w:val="24"/>
          <w:szCs w:val="24"/>
          <w:lang w:eastAsia="fr-FR"/>
        </w:rPr>
      </w:pPr>
    </w:p>
    <w:p w14:paraId="44BCD7B2" w14:textId="5F7216E6" w:rsidR="001F05B2" w:rsidRPr="001F05B2" w:rsidRDefault="00072050"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Étape</w:t>
      </w:r>
      <w:r w:rsidR="001F05B2" w:rsidRPr="001F05B2">
        <w:rPr>
          <w:rFonts w:ascii="Times New Roman" w:eastAsia="Times New Roman" w:hAnsi="Times New Roman" w:cs="Times New Roman"/>
          <w:color w:val="000000"/>
          <w:sz w:val="24"/>
          <w:szCs w:val="24"/>
          <w:lang w:eastAsia="fr-FR"/>
        </w:rPr>
        <w:t xml:space="preserve"> 3 : « une fois le contrat accepté », le choix et la mise en œuvre des « contenus à faire apprendre et des techniques utilisables à cet effet » ;</w:t>
      </w:r>
    </w:p>
    <w:p w14:paraId="1BAB9B23" w14:textId="18C728F9" w:rsidR="001F05B2" w:rsidRPr="001F05B2" w:rsidRDefault="00072050"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Étape</w:t>
      </w:r>
      <w:r w:rsidR="001F05B2" w:rsidRPr="001F05B2">
        <w:rPr>
          <w:rFonts w:ascii="Times New Roman" w:eastAsia="Times New Roman" w:hAnsi="Times New Roman" w:cs="Times New Roman"/>
          <w:color w:val="000000"/>
          <w:sz w:val="24"/>
          <w:szCs w:val="24"/>
          <w:lang w:eastAsia="fr-FR"/>
        </w:rPr>
        <w:t xml:space="preserve"> 4 : l’évaluation systématique des compétences acquises et, éventuellement, de ce qu’il reste à apprendre.</w:t>
      </w:r>
    </w:p>
    <w:p w14:paraId="216B4E88" w14:textId="77777777" w:rsidR="001F05B2" w:rsidRPr="001F05B2" w:rsidRDefault="001F05B2" w:rsidP="00072050">
      <w:pPr>
        <w:shd w:val="clear" w:color="auto" w:fill="ABC8E2"/>
        <w:spacing w:after="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b/>
          <w:bCs/>
          <w:color w:val="000000"/>
          <w:sz w:val="24"/>
          <w:szCs w:val="24"/>
          <w:bdr w:val="none" w:sz="0" w:space="0" w:color="auto" w:frame="1"/>
          <w:lang w:eastAsia="fr-FR"/>
        </w:rPr>
        <w:t>Les points essentiels</w:t>
      </w:r>
    </w:p>
    <w:p w14:paraId="2CB06F74" w14:textId="77777777" w:rsidR="001F05B2" w:rsidRPr="001F05B2" w:rsidRDefault="001F05B2" w:rsidP="00072050">
      <w:pPr>
        <w:shd w:val="clear" w:color="auto" w:fill="ABC8E2"/>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1922 : 1</w:t>
      </w:r>
      <w:r w:rsidRPr="001F05B2">
        <w:rPr>
          <w:rFonts w:ascii="Times New Roman" w:eastAsia="Times New Roman" w:hAnsi="Times New Roman" w:cs="Times New Roman"/>
          <w:color w:val="000000"/>
          <w:sz w:val="24"/>
          <w:szCs w:val="24"/>
          <w:vertAlign w:val="superscript"/>
          <w:lang w:eastAsia="fr-FR"/>
        </w:rPr>
        <w:t>er </w:t>
      </w:r>
      <w:r w:rsidRPr="001F05B2">
        <w:rPr>
          <w:rFonts w:ascii="Times New Roman" w:eastAsia="Times New Roman" w:hAnsi="Times New Roman" w:cs="Times New Roman"/>
          <w:color w:val="000000"/>
          <w:sz w:val="24"/>
          <w:szCs w:val="24"/>
          <w:lang w:eastAsia="fr-FR"/>
        </w:rPr>
        <w:t>traitement par l’insuline.</w:t>
      </w:r>
    </w:p>
    <w:p w14:paraId="07B089E3" w14:textId="77777777" w:rsidR="001F05B2" w:rsidRPr="001F05B2" w:rsidRDefault="001F05B2" w:rsidP="00072050">
      <w:pPr>
        <w:shd w:val="clear" w:color="auto" w:fill="ABC8E2"/>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1941 : 1</w:t>
      </w:r>
      <w:r w:rsidRPr="001F05B2">
        <w:rPr>
          <w:rFonts w:ascii="Times New Roman" w:eastAsia="Times New Roman" w:hAnsi="Times New Roman" w:cs="Times New Roman"/>
          <w:color w:val="000000"/>
          <w:sz w:val="24"/>
          <w:szCs w:val="24"/>
          <w:vertAlign w:val="superscript"/>
          <w:lang w:eastAsia="fr-FR"/>
        </w:rPr>
        <w:t>er</w:t>
      </w:r>
      <w:r w:rsidRPr="001F05B2">
        <w:rPr>
          <w:rFonts w:ascii="Times New Roman" w:eastAsia="Times New Roman" w:hAnsi="Times New Roman" w:cs="Times New Roman"/>
          <w:color w:val="000000"/>
          <w:sz w:val="24"/>
          <w:szCs w:val="24"/>
          <w:lang w:eastAsia="fr-FR"/>
        </w:rPr>
        <w:t xml:space="preserve"> manuel d’éducation des diabétiques de Elliott P. </w:t>
      </w:r>
      <w:proofErr w:type="spellStart"/>
      <w:r w:rsidRPr="001F05B2">
        <w:rPr>
          <w:rFonts w:ascii="Times New Roman" w:eastAsia="Times New Roman" w:hAnsi="Times New Roman" w:cs="Times New Roman"/>
          <w:color w:val="000000"/>
          <w:sz w:val="24"/>
          <w:szCs w:val="24"/>
          <w:lang w:eastAsia="fr-FR"/>
        </w:rPr>
        <w:t>Joslin</w:t>
      </w:r>
      <w:proofErr w:type="spellEnd"/>
      <w:r w:rsidRPr="001F05B2">
        <w:rPr>
          <w:rFonts w:ascii="Times New Roman" w:eastAsia="Times New Roman" w:hAnsi="Times New Roman" w:cs="Times New Roman"/>
          <w:color w:val="000000"/>
          <w:sz w:val="24"/>
          <w:szCs w:val="24"/>
          <w:lang w:eastAsia="fr-FR"/>
        </w:rPr>
        <w:t>.</w:t>
      </w:r>
    </w:p>
    <w:p w14:paraId="1AA68DA7" w14:textId="77777777" w:rsidR="001F05B2" w:rsidRPr="001F05B2" w:rsidRDefault="001F05B2" w:rsidP="00072050">
      <w:pPr>
        <w:shd w:val="clear" w:color="auto" w:fill="ABC8E2"/>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 xml:space="preserve">1954 : création de l’association des « diabétiques libérés » par Henri </w:t>
      </w:r>
      <w:proofErr w:type="spellStart"/>
      <w:r w:rsidRPr="001F05B2">
        <w:rPr>
          <w:rFonts w:ascii="Times New Roman" w:eastAsia="Times New Roman" w:hAnsi="Times New Roman" w:cs="Times New Roman"/>
          <w:color w:val="000000"/>
          <w:sz w:val="24"/>
          <w:szCs w:val="24"/>
          <w:lang w:eastAsia="fr-FR"/>
        </w:rPr>
        <w:t>Lestradet</w:t>
      </w:r>
      <w:proofErr w:type="spellEnd"/>
      <w:r w:rsidRPr="001F05B2">
        <w:rPr>
          <w:rFonts w:ascii="Times New Roman" w:eastAsia="Times New Roman" w:hAnsi="Times New Roman" w:cs="Times New Roman"/>
          <w:color w:val="000000"/>
          <w:sz w:val="24"/>
          <w:szCs w:val="24"/>
          <w:lang w:eastAsia="fr-FR"/>
        </w:rPr>
        <w:t>.</w:t>
      </w:r>
    </w:p>
    <w:p w14:paraId="0294FE63" w14:textId="77777777" w:rsidR="001F05B2" w:rsidRPr="001F05B2" w:rsidRDefault="001F05B2" w:rsidP="00072050">
      <w:pPr>
        <w:shd w:val="clear" w:color="auto" w:fill="ABC8E2"/>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1972 : démonstration de l’efficience de l’éducation thérapeutique du patient (ETP) par Leona V. Miller et Jack Goldstein.</w:t>
      </w:r>
    </w:p>
    <w:p w14:paraId="28EFD0B7" w14:textId="77777777" w:rsidR="001F05B2" w:rsidRPr="001F05B2" w:rsidRDefault="001F05B2" w:rsidP="00072050">
      <w:pPr>
        <w:shd w:val="clear" w:color="auto" w:fill="ABC8E2"/>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 xml:space="preserve">1975 : création de « l’unité de traitement et d’enseignement du diabète », à Genève (Suisse), par Jean-Philippe </w:t>
      </w:r>
      <w:proofErr w:type="spellStart"/>
      <w:r w:rsidRPr="001F05B2">
        <w:rPr>
          <w:rFonts w:ascii="Times New Roman" w:eastAsia="Times New Roman" w:hAnsi="Times New Roman" w:cs="Times New Roman"/>
          <w:color w:val="000000"/>
          <w:sz w:val="24"/>
          <w:szCs w:val="24"/>
          <w:lang w:eastAsia="fr-FR"/>
        </w:rPr>
        <w:t>Assal</w:t>
      </w:r>
      <w:proofErr w:type="spellEnd"/>
      <w:r w:rsidRPr="001F05B2">
        <w:rPr>
          <w:rFonts w:ascii="Times New Roman" w:eastAsia="Times New Roman" w:hAnsi="Times New Roman" w:cs="Times New Roman"/>
          <w:color w:val="000000"/>
          <w:sz w:val="24"/>
          <w:szCs w:val="24"/>
          <w:lang w:eastAsia="fr-FR"/>
        </w:rPr>
        <w:t>.</w:t>
      </w:r>
    </w:p>
    <w:p w14:paraId="1326D188" w14:textId="77777777" w:rsidR="001F05B2" w:rsidRPr="001F05B2" w:rsidRDefault="001F05B2" w:rsidP="00072050">
      <w:pPr>
        <w:shd w:val="clear" w:color="auto" w:fill="ABC8E2"/>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 xml:space="preserve">1977 : création du </w:t>
      </w:r>
      <w:proofErr w:type="spellStart"/>
      <w:r w:rsidRPr="001F05B2">
        <w:rPr>
          <w:rFonts w:ascii="Times New Roman" w:eastAsia="Times New Roman" w:hAnsi="Times New Roman" w:cs="Times New Roman"/>
          <w:color w:val="000000"/>
          <w:sz w:val="24"/>
          <w:szCs w:val="24"/>
          <w:lang w:eastAsia="fr-FR"/>
        </w:rPr>
        <w:t>Diabetes</w:t>
      </w:r>
      <w:proofErr w:type="spellEnd"/>
      <w:r w:rsidRPr="001F05B2">
        <w:rPr>
          <w:rFonts w:ascii="Times New Roman" w:eastAsia="Times New Roman" w:hAnsi="Times New Roman" w:cs="Times New Roman"/>
          <w:color w:val="000000"/>
          <w:sz w:val="24"/>
          <w:szCs w:val="24"/>
          <w:lang w:eastAsia="fr-FR"/>
        </w:rPr>
        <w:t xml:space="preserve"> </w:t>
      </w:r>
      <w:proofErr w:type="spellStart"/>
      <w:r w:rsidRPr="001F05B2">
        <w:rPr>
          <w:rFonts w:ascii="Times New Roman" w:eastAsia="Times New Roman" w:hAnsi="Times New Roman" w:cs="Times New Roman"/>
          <w:color w:val="000000"/>
          <w:sz w:val="24"/>
          <w:szCs w:val="24"/>
          <w:lang w:eastAsia="fr-FR"/>
        </w:rPr>
        <w:t>Education</w:t>
      </w:r>
      <w:proofErr w:type="spellEnd"/>
      <w:r w:rsidRPr="001F05B2">
        <w:rPr>
          <w:rFonts w:ascii="Times New Roman" w:eastAsia="Times New Roman" w:hAnsi="Times New Roman" w:cs="Times New Roman"/>
          <w:color w:val="000000"/>
          <w:sz w:val="24"/>
          <w:szCs w:val="24"/>
          <w:lang w:eastAsia="fr-FR"/>
        </w:rPr>
        <w:t xml:space="preserve"> </w:t>
      </w:r>
      <w:proofErr w:type="spellStart"/>
      <w:r w:rsidRPr="001F05B2">
        <w:rPr>
          <w:rFonts w:ascii="Times New Roman" w:eastAsia="Times New Roman" w:hAnsi="Times New Roman" w:cs="Times New Roman"/>
          <w:color w:val="000000"/>
          <w:sz w:val="24"/>
          <w:szCs w:val="24"/>
          <w:lang w:eastAsia="fr-FR"/>
        </w:rPr>
        <w:t>Study</w:t>
      </w:r>
      <w:proofErr w:type="spellEnd"/>
      <w:r w:rsidRPr="001F05B2">
        <w:rPr>
          <w:rFonts w:ascii="Times New Roman" w:eastAsia="Times New Roman" w:hAnsi="Times New Roman" w:cs="Times New Roman"/>
          <w:color w:val="000000"/>
          <w:sz w:val="24"/>
          <w:szCs w:val="24"/>
          <w:lang w:eastAsia="fr-FR"/>
        </w:rPr>
        <w:t xml:space="preserve"> Group (DESG) européen.</w:t>
      </w:r>
    </w:p>
    <w:p w14:paraId="5340F8BD" w14:textId="77777777" w:rsidR="001F05B2" w:rsidRPr="001F05B2" w:rsidRDefault="001F05B2" w:rsidP="00072050">
      <w:pPr>
        <w:shd w:val="clear" w:color="auto" w:fill="ABC8E2"/>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1988 : création du DESG de langue française.</w:t>
      </w:r>
    </w:p>
    <w:p w14:paraId="7E935C8C" w14:textId="77777777" w:rsidR="001F05B2" w:rsidRPr="001F05B2" w:rsidRDefault="001F05B2" w:rsidP="00072050">
      <w:pPr>
        <w:shd w:val="clear" w:color="auto" w:fill="ABC8E2"/>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1998 : définition de l’ETP par l’Organisation mondiale de la santé (OMS).</w:t>
      </w:r>
    </w:p>
    <w:p w14:paraId="76526AA8" w14:textId="77777777" w:rsidR="001F05B2" w:rsidRPr="001F05B2" w:rsidRDefault="001F05B2" w:rsidP="00072050">
      <w:pPr>
        <w:shd w:val="clear" w:color="auto" w:fill="ABC8E2"/>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2002 : en France, loi sur les droits des malades.</w:t>
      </w:r>
    </w:p>
    <w:p w14:paraId="52D29C5A" w14:textId="77777777" w:rsidR="001F05B2" w:rsidRPr="001F05B2" w:rsidRDefault="001F05B2" w:rsidP="00072050">
      <w:pPr>
        <w:shd w:val="clear" w:color="auto" w:fill="ABC8E2"/>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2007 : la Haute Autorité de santé (HAS) adopte l’approche par compétences développée par l’école de Bobigny.</w:t>
      </w:r>
    </w:p>
    <w:p w14:paraId="74C50322" w14:textId="77777777" w:rsidR="001F05B2" w:rsidRPr="001F05B2" w:rsidRDefault="001F05B2" w:rsidP="00072050">
      <w:pPr>
        <w:shd w:val="clear" w:color="auto" w:fill="ABC8E2"/>
        <w:spacing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2009 : l’ETP fait son entrée dans la loi dite « hôpital, patients, santé et territoire » (HPST) ; la gestion de l’ETP est confiée aux Agences régionales de santé (ARS).</w:t>
      </w:r>
    </w:p>
    <w:p w14:paraId="41FB5039"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 xml:space="preserve">La réalisation de chaque étape est présentée comme un préalable obligé au passage à l’étape suivante. Dans la réalité, le diagnostic éducatif et les objectifs ne sont pas des préalables, mais se font avec le patient au long de l’éducation elle-même car, comme l’écrivent très justement Alain Golay, Grégoire Lagger, et A. Giordan (de l’école de Genève) </w:t>
      </w:r>
      <w:proofErr w:type="gramStart"/>
      <w:r w:rsidRPr="001F05B2">
        <w:rPr>
          <w:rFonts w:ascii="Times New Roman" w:eastAsia="Times New Roman" w:hAnsi="Times New Roman" w:cs="Times New Roman"/>
          <w:color w:val="000000"/>
          <w:sz w:val="24"/>
          <w:szCs w:val="24"/>
          <w:lang w:eastAsia="fr-FR"/>
        </w:rPr>
        <w:t>[ 48</w:t>
      </w:r>
      <w:proofErr w:type="gramEnd"/>
      <w:r w:rsidRPr="001F05B2">
        <w:rPr>
          <w:rFonts w:ascii="Times New Roman" w:eastAsia="Times New Roman" w:hAnsi="Times New Roman" w:cs="Times New Roman"/>
          <w:color w:val="000000"/>
          <w:sz w:val="24"/>
          <w:szCs w:val="24"/>
          <w:lang w:eastAsia="fr-FR"/>
        </w:rPr>
        <w:t xml:space="preserve"> ] : « Voici le paradoxe : la finalité c’est le chemin ! ». On pourrait ajouter : « le début du chemin commence par une rencontre et se poursuit par une relation, car « si on apprend seul, on n’apprend pas tout seul ». Malgré leurs efforts de synthèse intégrative, les trois auteurs genevois, en cela fidèles à leurs mentors, prennent leur distance avec l’approche par « le tout-compétence » (l’APTC), en s’interrogeant sur les « finalités possibles de l’ETP qui pourraient se résumer comme suit : permettre à la personne malade de reconstruire un parcours de vie, une identité, et ceci grâce à la relation considérée comme un soin (la relation est thérapeutique) et à l’apprentissage des savoirs externes et internes. Ceci d’autant que l’intrusion de la maladie dans la vie d’un individu vient en interroger le sens, le projet. Alors le patient peut rester sujet de son histoire. Comment donner du sens à ce qui m’arrive, en tant que patient vivant mon histoire ? ». C’est avec cette vision, qu’A. Giordan et A. Golay vont développer un modèle portant sur les cinq dimensions </w:t>
      </w:r>
    </w:p>
    <w:p w14:paraId="277A0C86" w14:textId="77777777" w:rsidR="00072050" w:rsidRDefault="00072050" w:rsidP="00072050">
      <w:pPr>
        <w:spacing w:after="300" w:line="240" w:lineRule="auto"/>
        <w:jc w:val="both"/>
        <w:textAlignment w:val="baseline"/>
        <w:rPr>
          <w:rFonts w:ascii="Times New Roman" w:eastAsia="Times New Roman" w:hAnsi="Times New Roman" w:cs="Times New Roman"/>
          <w:color w:val="000000"/>
          <w:sz w:val="24"/>
          <w:szCs w:val="24"/>
          <w:lang w:eastAsia="fr-FR"/>
        </w:rPr>
      </w:pPr>
    </w:p>
    <w:p w14:paraId="6523989E"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proofErr w:type="gramStart"/>
      <w:r w:rsidRPr="001F05B2">
        <w:rPr>
          <w:rFonts w:ascii="Times New Roman" w:eastAsia="Times New Roman" w:hAnsi="Times New Roman" w:cs="Times New Roman"/>
          <w:color w:val="000000"/>
          <w:sz w:val="24"/>
          <w:szCs w:val="24"/>
          <w:lang w:eastAsia="fr-FR"/>
        </w:rPr>
        <w:t>du</w:t>
      </w:r>
      <w:proofErr w:type="gramEnd"/>
      <w:r w:rsidRPr="001F05B2">
        <w:rPr>
          <w:rFonts w:ascii="Times New Roman" w:eastAsia="Times New Roman" w:hAnsi="Times New Roman" w:cs="Times New Roman"/>
          <w:color w:val="000000"/>
          <w:sz w:val="24"/>
          <w:szCs w:val="24"/>
          <w:lang w:eastAsia="fr-FR"/>
        </w:rPr>
        <w:t xml:space="preserve"> patient (cognitive, émotionnelle, sensorielle, infra- et métacognitive), à mobiliser grâce à un « environnement motivationnel », au risque de transformer le modèle en « boite à outils ». Ce faisant, on comprend pourquoi les psychologues et les pédagogues membres de l’équipe d’éducation thérapeutique sont plus utiles aux soignants qu’aux soignés, et pourquoi les soignants devenus éducateurs doivent aussi être experts de la maladie et du traitement des soignés. Et voilà également pourquoi la culture, l’art-thérapie, le théâtre du vécu, qui sont relégués au rang d’accessoires par le « modèle pédagogique opératoire » de l’APTC, sont au cœur du « modèle humaniste ».</w:t>
      </w:r>
    </w:p>
    <w:p w14:paraId="0015C4B8"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br/>
        <w:t xml:space="preserve">• Le débat entre les partisans des deux modèles, le « modèle pédagogique d’acquisition des compétences », construit à Bobigny, et le « modèle clinique d’apprentissage et d’expression du vécu », mis en œuvre historiquement à Genève, n’a, me semble-t-il, pas été complètement mené. Sûrement pour plusieurs raisons : d’abord, les fondateurs de l’école de Bobigny estimaient que c’était aux cliniciens d’intégrer aux soins en le transformant leur modèle pédagogique pur, ensuite, l’objectif prioritaire, à l’époque, était d’obtenir la reconnaissance officielle de l’ETP, enfin, le côté quantifiable (« </w:t>
      </w:r>
      <w:proofErr w:type="spellStart"/>
      <w:r w:rsidRPr="001F05B2">
        <w:rPr>
          <w:rFonts w:ascii="Times New Roman" w:eastAsia="Times New Roman" w:hAnsi="Times New Roman" w:cs="Times New Roman"/>
          <w:color w:val="000000"/>
          <w:sz w:val="24"/>
          <w:szCs w:val="24"/>
          <w:lang w:eastAsia="fr-FR"/>
        </w:rPr>
        <w:t>Evidence-based</w:t>
      </w:r>
      <w:proofErr w:type="spellEnd"/>
      <w:r w:rsidRPr="001F05B2">
        <w:rPr>
          <w:rFonts w:ascii="Times New Roman" w:eastAsia="Times New Roman" w:hAnsi="Times New Roman" w:cs="Times New Roman"/>
          <w:color w:val="000000"/>
          <w:sz w:val="24"/>
          <w:szCs w:val="24"/>
          <w:lang w:eastAsia="fr-FR"/>
        </w:rPr>
        <w:t xml:space="preserve"> </w:t>
      </w:r>
      <w:proofErr w:type="spellStart"/>
      <w:r w:rsidRPr="001F05B2">
        <w:rPr>
          <w:rFonts w:ascii="Times New Roman" w:eastAsia="Times New Roman" w:hAnsi="Times New Roman" w:cs="Times New Roman"/>
          <w:color w:val="000000"/>
          <w:sz w:val="24"/>
          <w:szCs w:val="24"/>
          <w:lang w:eastAsia="fr-FR"/>
        </w:rPr>
        <w:t>education</w:t>
      </w:r>
      <w:proofErr w:type="spellEnd"/>
      <w:r w:rsidRPr="001F05B2">
        <w:rPr>
          <w:rFonts w:ascii="Times New Roman" w:eastAsia="Times New Roman" w:hAnsi="Times New Roman" w:cs="Times New Roman"/>
          <w:color w:val="000000"/>
          <w:sz w:val="24"/>
          <w:szCs w:val="24"/>
          <w:lang w:eastAsia="fr-FR"/>
        </w:rPr>
        <w:t xml:space="preserve"> ») du premier modèle rassurait les soignants et plaisait aux managers. Dans ce débat, une troisième école, celle de Louvain (Belgique), centrée sur l’éducation à la santé, sensibilisée aux dimensions communautaires, culturelles et organisationnelles de l’éducation et des soins, avait rejoint l’école de Genève. A. Lacroix (Genève), Alain </w:t>
      </w:r>
      <w:proofErr w:type="spellStart"/>
      <w:r w:rsidRPr="001F05B2">
        <w:rPr>
          <w:rFonts w:ascii="Times New Roman" w:eastAsia="Times New Roman" w:hAnsi="Times New Roman" w:cs="Times New Roman"/>
          <w:color w:val="000000"/>
          <w:sz w:val="24"/>
          <w:szCs w:val="24"/>
          <w:lang w:eastAsia="fr-FR"/>
        </w:rPr>
        <w:t>Deccache</w:t>
      </w:r>
      <w:proofErr w:type="spellEnd"/>
      <w:r w:rsidRPr="001F05B2">
        <w:rPr>
          <w:rFonts w:ascii="Times New Roman" w:eastAsia="Times New Roman" w:hAnsi="Times New Roman" w:cs="Times New Roman"/>
          <w:color w:val="000000"/>
          <w:sz w:val="24"/>
          <w:szCs w:val="24"/>
          <w:lang w:eastAsia="fr-FR"/>
        </w:rPr>
        <w:t xml:space="preserve"> (Louvain), François Martin (pneumologue à Dreux) et Alfred </w:t>
      </w:r>
      <w:proofErr w:type="spellStart"/>
      <w:r w:rsidRPr="001F05B2">
        <w:rPr>
          <w:rFonts w:ascii="Times New Roman" w:eastAsia="Times New Roman" w:hAnsi="Times New Roman" w:cs="Times New Roman"/>
          <w:color w:val="000000"/>
          <w:sz w:val="24"/>
          <w:szCs w:val="24"/>
          <w:lang w:eastAsia="fr-FR"/>
        </w:rPr>
        <w:t>Penfornis</w:t>
      </w:r>
      <w:proofErr w:type="spellEnd"/>
      <w:r w:rsidRPr="001F05B2">
        <w:rPr>
          <w:rFonts w:ascii="Times New Roman" w:eastAsia="Times New Roman" w:hAnsi="Times New Roman" w:cs="Times New Roman"/>
          <w:color w:val="000000"/>
          <w:sz w:val="24"/>
          <w:szCs w:val="24"/>
          <w:lang w:eastAsia="fr-FR"/>
        </w:rPr>
        <w:t xml:space="preserve"> (diabétologue, alors à Besançon) avaient adressé, en février 2008, une lettre ouverte à la HAS pour contester ses recommandations basées uniquement sur le modèle exclusif et rigidifié de l’acquisition de compétences : « Les dimensions psychologiques et sociales, qui sont des éléments constitutifs de la santé et de l’éducation, n’apparaissent ici que sous la forme de compétences à acquérir par le patient, ce qui est extrêmement réducteur » déploraient-ils. Le docteur Brigitte </w:t>
      </w:r>
      <w:proofErr w:type="spellStart"/>
      <w:r w:rsidRPr="001F05B2">
        <w:rPr>
          <w:rFonts w:ascii="Times New Roman" w:eastAsia="Times New Roman" w:hAnsi="Times New Roman" w:cs="Times New Roman"/>
          <w:color w:val="000000"/>
          <w:sz w:val="24"/>
          <w:szCs w:val="24"/>
          <w:lang w:eastAsia="fr-FR"/>
        </w:rPr>
        <w:t>Sandrin</w:t>
      </w:r>
      <w:proofErr w:type="spellEnd"/>
      <w:r w:rsidRPr="001F05B2">
        <w:rPr>
          <w:rFonts w:ascii="Times New Roman" w:eastAsia="Times New Roman" w:hAnsi="Times New Roman" w:cs="Times New Roman"/>
          <w:color w:val="000000"/>
          <w:sz w:val="24"/>
          <w:szCs w:val="24"/>
          <w:lang w:eastAsia="fr-FR"/>
        </w:rPr>
        <w:t xml:space="preserve">, formée à Louvain dans l’équipe d’A. </w:t>
      </w:r>
      <w:proofErr w:type="spellStart"/>
      <w:r w:rsidRPr="001F05B2">
        <w:rPr>
          <w:rFonts w:ascii="Times New Roman" w:eastAsia="Times New Roman" w:hAnsi="Times New Roman" w:cs="Times New Roman"/>
          <w:color w:val="000000"/>
          <w:sz w:val="24"/>
          <w:szCs w:val="24"/>
          <w:lang w:eastAsia="fr-FR"/>
        </w:rPr>
        <w:t>Deccache</w:t>
      </w:r>
      <w:proofErr w:type="spellEnd"/>
      <w:r w:rsidRPr="001F05B2">
        <w:rPr>
          <w:rFonts w:ascii="Times New Roman" w:eastAsia="Times New Roman" w:hAnsi="Times New Roman" w:cs="Times New Roman"/>
          <w:color w:val="000000"/>
          <w:sz w:val="24"/>
          <w:szCs w:val="24"/>
          <w:lang w:eastAsia="fr-FR"/>
        </w:rPr>
        <w:t xml:space="preserve">, a fait une critique pertinente du « diagnostic éducatif » en proposant le terme de « bilan éducatif partagé évolutif » </w:t>
      </w:r>
      <w:proofErr w:type="gramStart"/>
      <w:r w:rsidRPr="001F05B2">
        <w:rPr>
          <w:rFonts w:ascii="Times New Roman" w:eastAsia="Times New Roman" w:hAnsi="Times New Roman" w:cs="Times New Roman"/>
          <w:color w:val="000000"/>
          <w:sz w:val="24"/>
          <w:szCs w:val="24"/>
          <w:lang w:eastAsia="fr-FR"/>
        </w:rPr>
        <w:t>[ 57</w:t>
      </w:r>
      <w:proofErr w:type="gramEnd"/>
      <w:r w:rsidRPr="001F05B2">
        <w:rPr>
          <w:rFonts w:ascii="Times New Roman" w:eastAsia="Times New Roman" w:hAnsi="Times New Roman" w:cs="Times New Roman"/>
          <w:color w:val="000000"/>
          <w:sz w:val="24"/>
          <w:szCs w:val="24"/>
          <w:lang w:eastAsia="fr-FR"/>
        </w:rPr>
        <w:t xml:space="preserve"> , 58 ], mais la connotation médicale du terme « diagnostic éducatif » a assuré son succès. L’important est d’ailleurs moins le nom que son contenu. A. Lacroix a dénoncé la dérive de l’ETP </w:t>
      </w:r>
      <w:proofErr w:type="gramStart"/>
      <w:r w:rsidRPr="001F05B2">
        <w:rPr>
          <w:rFonts w:ascii="Times New Roman" w:eastAsia="Times New Roman" w:hAnsi="Times New Roman" w:cs="Times New Roman"/>
          <w:color w:val="000000"/>
          <w:sz w:val="24"/>
          <w:szCs w:val="24"/>
          <w:lang w:eastAsia="fr-FR"/>
        </w:rPr>
        <w:t>[ 59</w:t>
      </w:r>
      <w:proofErr w:type="gramEnd"/>
      <w:r w:rsidRPr="001F05B2">
        <w:rPr>
          <w:rFonts w:ascii="Times New Roman" w:eastAsia="Times New Roman" w:hAnsi="Times New Roman" w:cs="Times New Roman"/>
          <w:color w:val="000000"/>
          <w:sz w:val="24"/>
          <w:szCs w:val="24"/>
          <w:lang w:eastAsia="fr-FR"/>
        </w:rPr>
        <w:t xml:space="preserve"> ], notamment en France, vers une prestation séparée des soins, souvent réalisée par un ou deux paramédicaux formés, le reste des membres du service continuant à pratiquer une médecine centrée sur la maladie. Elle a critiqué la démarche pseudoscientifique de l’APTC et appelé « à une refondation de ce qui s’appelle aujourd’hui l’éducation thérapeutique des patients », mais comparant l’ETP à un « espace transitionnel », elle semblait, à l’opposé, sous-estimer l’importance de la formalisation des apprentissages nécessaires à l’acquisition d’une compétence d’</w:t>
      </w:r>
      <w:proofErr w:type="spellStart"/>
      <w:r w:rsidRPr="001F05B2">
        <w:rPr>
          <w:rFonts w:ascii="Times New Roman" w:eastAsia="Times New Roman" w:hAnsi="Times New Roman" w:cs="Times New Roman"/>
          <w:color w:val="000000"/>
          <w:sz w:val="24"/>
          <w:szCs w:val="24"/>
          <w:lang w:eastAsia="fr-FR"/>
        </w:rPr>
        <w:t>auto-soins</w:t>
      </w:r>
      <w:proofErr w:type="spellEnd"/>
      <w:r w:rsidRPr="001F05B2">
        <w:rPr>
          <w:rFonts w:ascii="Times New Roman" w:eastAsia="Times New Roman" w:hAnsi="Times New Roman" w:cs="Times New Roman"/>
          <w:color w:val="000000"/>
          <w:sz w:val="24"/>
          <w:szCs w:val="24"/>
          <w:lang w:eastAsia="fr-FR"/>
        </w:rPr>
        <w:t xml:space="preserve"> indispensable, non seulement pour la santé des patients, mais aussi pour construire ou renforcer leur sentiment d’auto-efficacité.</w:t>
      </w:r>
    </w:p>
    <w:p w14:paraId="502BE182"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br/>
        <w:t>L’évolution de l’ETP au rythme des changements sociétaux</w:t>
      </w:r>
    </w:p>
    <w:p w14:paraId="45161268" w14:textId="5E286EB4" w:rsidR="001F05B2" w:rsidRPr="001F05B2"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br/>
        <w:t>• Certes, comme le constatent Maria-Grazia Albano et J.-F. d’</w:t>
      </w:r>
      <w:proofErr w:type="spellStart"/>
      <w:r w:rsidRPr="001F05B2">
        <w:rPr>
          <w:rFonts w:ascii="Times New Roman" w:eastAsia="Times New Roman" w:hAnsi="Times New Roman" w:cs="Times New Roman"/>
          <w:color w:val="000000"/>
          <w:sz w:val="24"/>
          <w:szCs w:val="24"/>
          <w:lang w:eastAsia="fr-FR"/>
        </w:rPr>
        <w:t>Ivernois</w:t>
      </w:r>
      <w:proofErr w:type="spellEnd"/>
      <w:r w:rsidRPr="001F05B2">
        <w:rPr>
          <w:rFonts w:ascii="Times New Roman" w:eastAsia="Times New Roman" w:hAnsi="Times New Roman" w:cs="Times New Roman"/>
          <w:color w:val="000000"/>
          <w:sz w:val="24"/>
          <w:szCs w:val="24"/>
          <w:lang w:eastAsia="fr-FR"/>
        </w:rPr>
        <w:t xml:space="preserve"> </w:t>
      </w:r>
      <w:proofErr w:type="gramStart"/>
      <w:r w:rsidRPr="001F05B2">
        <w:rPr>
          <w:rFonts w:ascii="Times New Roman" w:eastAsia="Times New Roman" w:hAnsi="Times New Roman" w:cs="Times New Roman"/>
          <w:color w:val="000000"/>
          <w:sz w:val="24"/>
          <w:szCs w:val="24"/>
          <w:lang w:eastAsia="fr-FR"/>
        </w:rPr>
        <w:t>[ 60</w:t>
      </w:r>
      <w:proofErr w:type="gramEnd"/>
      <w:r w:rsidRPr="001F05B2">
        <w:rPr>
          <w:rFonts w:ascii="Times New Roman" w:eastAsia="Times New Roman" w:hAnsi="Times New Roman" w:cs="Times New Roman"/>
          <w:color w:val="000000"/>
          <w:sz w:val="24"/>
          <w:szCs w:val="24"/>
          <w:lang w:eastAsia="fr-FR"/>
        </w:rPr>
        <w:t xml:space="preserve"> ], « Médecine et éducation entretiennent depuis des siècles des rapports étroits », et nombre de pédagogues célèbres furent des médecins : Itard, Montessori, Claparède, Muchielli, Decroly, Korczak…, mais l’histoire de l’ETP peut être périodisée en fonction de l’évolution des sociétés modernes.</w:t>
      </w:r>
    </w:p>
    <w:p w14:paraId="78F4483C" w14:textId="77777777" w:rsidR="00072050" w:rsidRDefault="00072050" w:rsidP="00072050">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fr-FR"/>
        </w:rPr>
      </w:pPr>
    </w:p>
    <w:p w14:paraId="3ABBED53" w14:textId="77777777" w:rsidR="00072050" w:rsidRDefault="00072050" w:rsidP="00072050">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fr-FR"/>
        </w:rPr>
      </w:pPr>
    </w:p>
    <w:p w14:paraId="7ACCFE90" w14:textId="4E840B8D" w:rsidR="001F05B2" w:rsidRPr="001F05B2" w:rsidRDefault="001F05B2" w:rsidP="00072050">
      <w:pPr>
        <w:spacing w:after="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b/>
          <w:bCs/>
          <w:color w:val="000000"/>
          <w:sz w:val="24"/>
          <w:szCs w:val="24"/>
          <w:bdr w:val="none" w:sz="0" w:space="0" w:color="auto" w:frame="1"/>
          <w:lang w:eastAsia="fr-FR"/>
        </w:rPr>
        <w:t>La 1</w:t>
      </w:r>
      <w:proofErr w:type="gramStart"/>
      <w:r w:rsidRPr="001F05B2">
        <w:rPr>
          <w:rFonts w:ascii="Times New Roman" w:eastAsia="Times New Roman" w:hAnsi="Times New Roman" w:cs="Times New Roman"/>
          <w:b/>
          <w:bCs/>
          <w:color w:val="000000"/>
          <w:sz w:val="24"/>
          <w:szCs w:val="24"/>
          <w:bdr w:val="none" w:sz="0" w:space="0" w:color="auto" w:frame="1"/>
          <w:vertAlign w:val="superscript"/>
          <w:lang w:eastAsia="fr-FR"/>
        </w:rPr>
        <w:t>ère  </w:t>
      </w:r>
      <w:r w:rsidRPr="001F05B2">
        <w:rPr>
          <w:rFonts w:ascii="Times New Roman" w:eastAsia="Times New Roman" w:hAnsi="Times New Roman" w:cs="Times New Roman"/>
          <w:b/>
          <w:bCs/>
          <w:color w:val="000000"/>
          <w:sz w:val="24"/>
          <w:szCs w:val="24"/>
          <w:bdr w:val="none" w:sz="0" w:space="0" w:color="auto" w:frame="1"/>
          <w:lang w:eastAsia="fr-FR"/>
        </w:rPr>
        <w:t>ère</w:t>
      </w:r>
      <w:proofErr w:type="gramEnd"/>
      <w:r w:rsidRPr="001F05B2">
        <w:rPr>
          <w:rFonts w:ascii="Times New Roman" w:eastAsia="Times New Roman" w:hAnsi="Times New Roman" w:cs="Times New Roman"/>
          <w:b/>
          <w:bCs/>
          <w:color w:val="000000"/>
          <w:sz w:val="24"/>
          <w:szCs w:val="24"/>
          <w:bdr w:val="none" w:sz="0" w:space="0" w:color="auto" w:frame="1"/>
          <w:lang w:eastAsia="fr-FR"/>
        </w:rPr>
        <w:t xml:space="preserve"> de  l’ETP (1922-1972)</w:t>
      </w:r>
    </w:p>
    <w:p w14:paraId="6990EB4A"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 xml:space="preserve">• Si on doit dater la naissance de l’ETP moderne de l’ouverture, en 1975, de « l’unité de traitement et d’enseignement du diabète » par le professeur J.-Ph. </w:t>
      </w:r>
      <w:proofErr w:type="spellStart"/>
      <w:r w:rsidRPr="001F05B2">
        <w:rPr>
          <w:rFonts w:ascii="Times New Roman" w:eastAsia="Times New Roman" w:hAnsi="Times New Roman" w:cs="Times New Roman"/>
          <w:color w:val="000000"/>
          <w:sz w:val="24"/>
          <w:szCs w:val="24"/>
          <w:lang w:eastAsia="fr-FR"/>
        </w:rPr>
        <w:t>Assal</w:t>
      </w:r>
      <w:proofErr w:type="spellEnd"/>
      <w:r w:rsidRPr="001F05B2">
        <w:rPr>
          <w:rFonts w:ascii="Times New Roman" w:eastAsia="Times New Roman" w:hAnsi="Times New Roman" w:cs="Times New Roman"/>
          <w:color w:val="000000"/>
          <w:sz w:val="24"/>
          <w:szCs w:val="24"/>
          <w:lang w:eastAsia="fr-FR"/>
        </w:rPr>
        <w:t xml:space="preserve">, au sein de l’Hôpital Universitaire de Genève, force est de reconnaître que l’éducation du patient a débuté bien avant, en réalité dès 1922, date du premier traitement d’un enfant diabétique par l’insuline. Le diabète insulinodépendant, jusque-là maladie subaiguë mortelle, allait devenir une maladie chronique. Le patient et/ou son entourage allait devoir apprendre à injecter l’insuline, mesurer le sucre et l’acétone dans les urines, peser son alimentation, connaître les équivalences glucidiques, manger à heures fixes, adapter son activité physique, prévenir et traiter l’hypoglycémie et l’acidocétose, tenir scrupuleusement un cahier de bord du diabète… En 1941, Elliott P. </w:t>
      </w:r>
      <w:proofErr w:type="spellStart"/>
      <w:r w:rsidRPr="001F05B2">
        <w:rPr>
          <w:rFonts w:ascii="Times New Roman" w:eastAsia="Times New Roman" w:hAnsi="Times New Roman" w:cs="Times New Roman"/>
          <w:color w:val="000000"/>
          <w:sz w:val="24"/>
          <w:szCs w:val="24"/>
          <w:lang w:eastAsia="fr-FR"/>
        </w:rPr>
        <w:t>Joslin</w:t>
      </w:r>
      <w:proofErr w:type="spellEnd"/>
      <w:r w:rsidRPr="001F05B2">
        <w:rPr>
          <w:rFonts w:ascii="Times New Roman" w:eastAsia="Times New Roman" w:hAnsi="Times New Roman" w:cs="Times New Roman"/>
          <w:color w:val="000000"/>
          <w:sz w:val="24"/>
          <w:szCs w:val="24"/>
          <w:lang w:eastAsia="fr-FR"/>
        </w:rPr>
        <w:t>, professeur à Boston (États-Unis), publie le premier manuel pour les médecins généralistes et les patients. L’éducation, à l’époque, était à l’image des rapports sociaux, à l’école comme à l’hôpital : verticale et autoritaire. Aux soignants, la rigueur et le dévouement ; aux patients, l’obéissance et la reconnaissance ! Un de mes patients se rappelait ses consultations chez le diabétologue lorsqu’il était enfant : « à la sortie de la consultation, à chaque fois, maman pleurait ».</w:t>
      </w:r>
      <w:r w:rsidRPr="001F05B2">
        <w:rPr>
          <w:rFonts w:ascii="Times New Roman" w:eastAsia="Times New Roman" w:hAnsi="Times New Roman" w:cs="Times New Roman"/>
          <w:color w:val="000000"/>
          <w:sz w:val="24"/>
          <w:szCs w:val="24"/>
          <w:lang w:eastAsia="fr-FR"/>
        </w:rPr>
        <w:br/>
        <w:t xml:space="preserve">• Jusqu’en 1953, la fonction publique est interdite aux patients diabétiques ; jusqu’en 1963, des enfants diabétiques peuvent être exclus du lycée à cause de leur diabète. Voici ce qu’on peut lire dans Le journal des diabétiques (organe de l’Association Française des Diabétiques, AFD) d’octobre 1958 : « La presque totalité des internats refuse les enfants diabétiques ; la fondation d’internats spéciaux se révèle indispensable, qu’il s’agisse de ceux que les parents sont incapables de surveiller (un des enfants bien équilibré et intelligent vivait pour cette seule raison à l’hospice de </w:t>
      </w:r>
      <w:proofErr w:type="spellStart"/>
      <w:r w:rsidRPr="001F05B2">
        <w:rPr>
          <w:rFonts w:ascii="Times New Roman" w:eastAsia="Times New Roman" w:hAnsi="Times New Roman" w:cs="Times New Roman"/>
          <w:color w:val="000000"/>
          <w:sz w:val="24"/>
          <w:szCs w:val="24"/>
          <w:lang w:eastAsia="fr-FR"/>
        </w:rPr>
        <w:t>Laragne</w:t>
      </w:r>
      <w:proofErr w:type="spellEnd"/>
      <w:r w:rsidRPr="001F05B2">
        <w:rPr>
          <w:rFonts w:ascii="Times New Roman" w:eastAsia="Times New Roman" w:hAnsi="Times New Roman" w:cs="Times New Roman"/>
          <w:color w:val="000000"/>
          <w:sz w:val="24"/>
          <w:szCs w:val="24"/>
          <w:lang w:eastAsia="fr-FR"/>
        </w:rPr>
        <w:t>) ou de ceux qui habitent la campagne et doivent en conséquence renoncer à toute scolarité secondaire comme à l’enseignement technique (un des garçons brillamment reçu à l’entrée en sixième l’année précédente avait dû rester dans son école de campagne parce que le directeur du lycée refusait d’assurer son régime et même ses piqûres) ».</w:t>
      </w:r>
      <w:r w:rsidRPr="001F05B2">
        <w:rPr>
          <w:rFonts w:ascii="Times New Roman" w:eastAsia="Times New Roman" w:hAnsi="Times New Roman" w:cs="Times New Roman"/>
          <w:color w:val="000000"/>
          <w:sz w:val="24"/>
          <w:szCs w:val="24"/>
          <w:lang w:eastAsia="fr-FR"/>
        </w:rPr>
        <w:br/>
        <w:t xml:space="preserve">• En 1954, un jeune pédiatre, Henri </w:t>
      </w:r>
      <w:proofErr w:type="spellStart"/>
      <w:r w:rsidRPr="001F05B2">
        <w:rPr>
          <w:rFonts w:ascii="Times New Roman" w:eastAsia="Times New Roman" w:hAnsi="Times New Roman" w:cs="Times New Roman"/>
          <w:color w:val="000000"/>
          <w:sz w:val="24"/>
          <w:szCs w:val="24"/>
          <w:lang w:eastAsia="fr-FR"/>
        </w:rPr>
        <w:t>Lestradet</w:t>
      </w:r>
      <w:proofErr w:type="spellEnd"/>
      <w:r w:rsidRPr="001F05B2">
        <w:rPr>
          <w:rFonts w:ascii="Times New Roman" w:eastAsia="Times New Roman" w:hAnsi="Times New Roman" w:cs="Times New Roman"/>
          <w:color w:val="000000"/>
          <w:sz w:val="24"/>
          <w:szCs w:val="24"/>
          <w:lang w:eastAsia="fr-FR"/>
        </w:rPr>
        <w:t xml:space="preserve">, élève de Robert Debré, de retour des États-Unis, où il a rencontré Bill </w:t>
      </w:r>
      <w:proofErr w:type="spellStart"/>
      <w:r w:rsidRPr="001F05B2">
        <w:rPr>
          <w:rFonts w:ascii="Times New Roman" w:eastAsia="Times New Roman" w:hAnsi="Times New Roman" w:cs="Times New Roman"/>
          <w:color w:val="000000"/>
          <w:sz w:val="24"/>
          <w:szCs w:val="24"/>
          <w:lang w:eastAsia="fr-FR"/>
        </w:rPr>
        <w:t>Talbert</w:t>
      </w:r>
      <w:proofErr w:type="spellEnd"/>
      <w:r w:rsidRPr="001F05B2">
        <w:rPr>
          <w:rFonts w:ascii="Times New Roman" w:eastAsia="Times New Roman" w:hAnsi="Times New Roman" w:cs="Times New Roman"/>
          <w:color w:val="000000"/>
          <w:sz w:val="24"/>
          <w:szCs w:val="24"/>
          <w:lang w:eastAsia="fr-FR"/>
        </w:rPr>
        <w:t xml:space="preserve">, un champion de tennis diabétique insulinodépendant pratiquant « le régime libre », crée l’Association des diabétiques libérés (ADL). Deux ans plus tard, l’ADL donnera naissance à l’Aide aux jeunes diabétiques (AJD) </w:t>
      </w:r>
      <w:proofErr w:type="gramStart"/>
      <w:r w:rsidRPr="001F05B2">
        <w:rPr>
          <w:rFonts w:ascii="Times New Roman" w:eastAsia="Times New Roman" w:hAnsi="Times New Roman" w:cs="Times New Roman"/>
          <w:color w:val="000000"/>
          <w:sz w:val="24"/>
          <w:szCs w:val="24"/>
          <w:lang w:eastAsia="fr-FR"/>
        </w:rPr>
        <w:t>[ 61</w:t>
      </w:r>
      <w:proofErr w:type="gramEnd"/>
      <w:r w:rsidRPr="001F05B2">
        <w:rPr>
          <w:rFonts w:ascii="Times New Roman" w:eastAsia="Times New Roman" w:hAnsi="Times New Roman" w:cs="Times New Roman"/>
          <w:color w:val="000000"/>
          <w:sz w:val="24"/>
          <w:szCs w:val="24"/>
          <w:lang w:eastAsia="fr-FR"/>
        </w:rPr>
        <w:t xml:space="preserve"> ]. H. </w:t>
      </w:r>
      <w:proofErr w:type="spellStart"/>
      <w:r w:rsidRPr="001F05B2">
        <w:rPr>
          <w:rFonts w:ascii="Times New Roman" w:eastAsia="Times New Roman" w:hAnsi="Times New Roman" w:cs="Times New Roman"/>
          <w:color w:val="000000"/>
          <w:sz w:val="24"/>
          <w:szCs w:val="24"/>
          <w:lang w:eastAsia="fr-FR"/>
        </w:rPr>
        <w:t>Lestradet</w:t>
      </w:r>
      <w:proofErr w:type="spellEnd"/>
      <w:r w:rsidRPr="001F05B2">
        <w:rPr>
          <w:rFonts w:ascii="Times New Roman" w:eastAsia="Times New Roman" w:hAnsi="Times New Roman" w:cs="Times New Roman"/>
          <w:color w:val="000000"/>
          <w:sz w:val="24"/>
          <w:szCs w:val="24"/>
          <w:lang w:eastAsia="fr-FR"/>
        </w:rPr>
        <w:t xml:space="preserve"> et ses élèves proposent une seule injection par jour au lieu de trois ou quatre (les seringues en verre et les aiguilles – beaucoup moins fines qu’aujourd’hui – devaient être stérilisées avant usage), un régime beaucoup moins restrictif en glucides, une petite glycosurie dite de « sécurité » pour éviter les hypoglycémies sévères (on ne dispose à l’époque, ni de l’</w:t>
      </w:r>
      <w:proofErr w:type="spellStart"/>
      <w:r w:rsidRPr="001F05B2">
        <w:rPr>
          <w:rFonts w:ascii="Times New Roman" w:eastAsia="Times New Roman" w:hAnsi="Times New Roman" w:cs="Times New Roman"/>
          <w:color w:val="000000"/>
          <w:sz w:val="24"/>
          <w:szCs w:val="24"/>
          <w:lang w:eastAsia="fr-FR"/>
        </w:rPr>
        <w:t>auto-surveillance</w:t>
      </w:r>
      <w:proofErr w:type="spellEnd"/>
      <w:r w:rsidRPr="001F05B2">
        <w:rPr>
          <w:rFonts w:ascii="Times New Roman" w:eastAsia="Times New Roman" w:hAnsi="Times New Roman" w:cs="Times New Roman"/>
          <w:color w:val="000000"/>
          <w:sz w:val="24"/>
          <w:szCs w:val="24"/>
          <w:lang w:eastAsia="fr-FR"/>
        </w:rPr>
        <w:t xml:space="preserve"> glycémique, ni du glucagon, et, en cas de coma hypoglycémique, lorsqu’on ne peut pas injecter du glucose en intraveineux, on fait un lavement d’eau sucrée !). Parents et enfants adoptent dans l’enthousiasme cette médecine centrée sur l’enfant, assurant son développement physique et psychologique. Les enfants qui avaient participé aux « colos » de l’AJD de l’époque en gardaient le souvenir d’une formidable « école de la vie » (plus qu’école du diabète). En face, la majorité des diabétologues d’adultes, derrière le français Georges </w:t>
      </w:r>
      <w:proofErr w:type="spellStart"/>
      <w:r w:rsidRPr="001F05B2">
        <w:rPr>
          <w:rFonts w:ascii="Times New Roman" w:eastAsia="Times New Roman" w:hAnsi="Times New Roman" w:cs="Times New Roman"/>
          <w:color w:val="000000"/>
          <w:sz w:val="24"/>
          <w:szCs w:val="24"/>
          <w:lang w:eastAsia="fr-FR"/>
        </w:rPr>
        <w:t>Tchobroutsky</w:t>
      </w:r>
      <w:proofErr w:type="spellEnd"/>
      <w:r w:rsidRPr="001F05B2">
        <w:rPr>
          <w:rFonts w:ascii="Times New Roman" w:eastAsia="Times New Roman" w:hAnsi="Times New Roman" w:cs="Times New Roman"/>
          <w:color w:val="000000"/>
          <w:sz w:val="24"/>
          <w:szCs w:val="24"/>
          <w:lang w:eastAsia="fr-FR"/>
        </w:rPr>
        <w:t xml:space="preserve"> </w:t>
      </w:r>
      <w:proofErr w:type="gramStart"/>
      <w:r w:rsidRPr="001F05B2">
        <w:rPr>
          <w:rFonts w:ascii="Times New Roman" w:eastAsia="Times New Roman" w:hAnsi="Times New Roman" w:cs="Times New Roman"/>
          <w:color w:val="000000"/>
          <w:sz w:val="24"/>
          <w:szCs w:val="24"/>
          <w:lang w:eastAsia="fr-FR"/>
        </w:rPr>
        <w:t>[ 62</w:t>
      </w:r>
      <w:proofErr w:type="gramEnd"/>
      <w:r w:rsidRPr="001F05B2">
        <w:rPr>
          <w:rFonts w:ascii="Times New Roman" w:eastAsia="Times New Roman" w:hAnsi="Times New Roman" w:cs="Times New Roman"/>
          <w:color w:val="000000"/>
          <w:sz w:val="24"/>
          <w:szCs w:val="24"/>
          <w:lang w:eastAsia="fr-FR"/>
        </w:rPr>
        <w:t xml:space="preserve"> ] et le belge Jean </w:t>
      </w:r>
      <w:proofErr w:type="spellStart"/>
      <w:r w:rsidRPr="001F05B2">
        <w:rPr>
          <w:rFonts w:ascii="Times New Roman" w:eastAsia="Times New Roman" w:hAnsi="Times New Roman" w:cs="Times New Roman"/>
          <w:color w:val="000000"/>
          <w:sz w:val="24"/>
          <w:szCs w:val="24"/>
          <w:lang w:eastAsia="fr-FR"/>
        </w:rPr>
        <w:t>Pirart</w:t>
      </w:r>
      <w:proofErr w:type="spellEnd"/>
      <w:r w:rsidRPr="001F05B2">
        <w:rPr>
          <w:rFonts w:ascii="Times New Roman" w:eastAsia="Times New Roman" w:hAnsi="Times New Roman" w:cs="Times New Roman"/>
          <w:color w:val="000000"/>
          <w:sz w:val="24"/>
          <w:szCs w:val="24"/>
          <w:lang w:eastAsia="fr-FR"/>
        </w:rPr>
        <w:t xml:space="preserve"> [ 63 ], défendaient une médecine centrée sur la maladie pour éviter ses complications : régime limité en glucides et fragmenté en trois repas et trois collations prises à heures fixes, plusieurs injections par jour, pas de glycosurie. Les plus stricts, comme le docteur Henry </w:t>
      </w:r>
      <w:proofErr w:type="spellStart"/>
      <w:r w:rsidRPr="001F05B2">
        <w:rPr>
          <w:rFonts w:ascii="Times New Roman" w:eastAsia="Times New Roman" w:hAnsi="Times New Roman" w:cs="Times New Roman"/>
          <w:color w:val="000000"/>
          <w:sz w:val="24"/>
          <w:szCs w:val="24"/>
          <w:lang w:eastAsia="fr-FR"/>
        </w:rPr>
        <w:t>Chabanier</w:t>
      </w:r>
      <w:proofErr w:type="spellEnd"/>
      <w:r w:rsidRPr="001F05B2">
        <w:rPr>
          <w:rFonts w:ascii="Times New Roman" w:eastAsia="Times New Roman" w:hAnsi="Times New Roman" w:cs="Times New Roman"/>
          <w:color w:val="000000"/>
          <w:sz w:val="24"/>
          <w:szCs w:val="24"/>
          <w:lang w:eastAsia="fr-FR"/>
        </w:rPr>
        <w:t xml:space="preserve">, imposaient la pesée des aliments et quatre injections d’insuline dite « ordinaire » par jour, dont une à 3 heures du matin. Le schisme entre pédiatres et diabétologues d’adultes ne sera définitivement surmonté qu’en 1993, lors de la publication des résultats de l’essai prospectif randomisé </w:t>
      </w:r>
      <w:proofErr w:type="spellStart"/>
      <w:r w:rsidRPr="001F05B2">
        <w:rPr>
          <w:rFonts w:ascii="Times New Roman" w:eastAsia="Times New Roman" w:hAnsi="Times New Roman" w:cs="Times New Roman"/>
          <w:color w:val="000000"/>
          <w:sz w:val="24"/>
          <w:szCs w:val="24"/>
          <w:lang w:eastAsia="fr-FR"/>
        </w:rPr>
        <w:t>Diabetes</w:t>
      </w:r>
      <w:proofErr w:type="spellEnd"/>
      <w:r w:rsidRPr="001F05B2">
        <w:rPr>
          <w:rFonts w:ascii="Times New Roman" w:eastAsia="Times New Roman" w:hAnsi="Times New Roman" w:cs="Times New Roman"/>
          <w:color w:val="000000"/>
          <w:sz w:val="24"/>
          <w:szCs w:val="24"/>
          <w:lang w:eastAsia="fr-FR"/>
        </w:rPr>
        <w:t xml:space="preserve"> Control and Complications Trial (DCCT) </w:t>
      </w:r>
      <w:proofErr w:type="gramStart"/>
      <w:r w:rsidRPr="001F05B2">
        <w:rPr>
          <w:rFonts w:ascii="Times New Roman" w:eastAsia="Times New Roman" w:hAnsi="Times New Roman" w:cs="Times New Roman"/>
          <w:color w:val="000000"/>
          <w:sz w:val="24"/>
          <w:szCs w:val="24"/>
          <w:lang w:eastAsia="fr-FR"/>
        </w:rPr>
        <w:t>[ 64</w:t>
      </w:r>
      <w:proofErr w:type="gramEnd"/>
      <w:r w:rsidRPr="001F05B2">
        <w:rPr>
          <w:rFonts w:ascii="Times New Roman" w:eastAsia="Times New Roman" w:hAnsi="Times New Roman" w:cs="Times New Roman"/>
          <w:color w:val="000000"/>
          <w:sz w:val="24"/>
          <w:szCs w:val="24"/>
          <w:lang w:eastAsia="fr-FR"/>
        </w:rPr>
        <w:t xml:space="preserve"> ] qui, grâce à la disponibilité du dosage de l’hémoglobine A1C (depuis 1977), prouvera la relation causale </w:t>
      </w:r>
    </w:p>
    <w:p w14:paraId="366336A3" w14:textId="77777777" w:rsidR="00072050" w:rsidRDefault="00072050" w:rsidP="00072050">
      <w:pPr>
        <w:spacing w:after="300" w:line="240" w:lineRule="auto"/>
        <w:jc w:val="both"/>
        <w:textAlignment w:val="baseline"/>
        <w:rPr>
          <w:rFonts w:ascii="Times New Roman" w:eastAsia="Times New Roman" w:hAnsi="Times New Roman" w:cs="Times New Roman"/>
          <w:color w:val="000000"/>
          <w:sz w:val="24"/>
          <w:szCs w:val="24"/>
          <w:lang w:eastAsia="fr-FR"/>
        </w:rPr>
      </w:pPr>
    </w:p>
    <w:p w14:paraId="254ED1E6" w14:textId="779F53EA" w:rsidR="001F05B2" w:rsidRPr="001F05B2"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proofErr w:type="gramStart"/>
      <w:r w:rsidRPr="001F05B2">
        <w:rPr>
          <w:rFonts w:ascii="Times New Roman" w:eastAsia="Times New Roman" w:hAnsi="Times New Roman" w:cs="Times New Roman"/>
          <w:color w:val="000000"/>
          <w:sz w:val="24"/>
          <w:szCs w:val="24"/>
          <w:lang w:eastAsia="fr-FR"/>
        </w:rPr>
        <w:t>entre</w:t>
      </w:r>
      <w:proofErr w:type="gramEnd"/>
      <w:r w:rsidRPr="001F05B2">
        <w:rPr>
          <w:rFonts w:ascii="Times New Roman" w:eastAsia="Times New Roman" w:hAnsi="Times New Roman" w:cs="Times New Roman"/>
          <w:color w:val="000000"/>
          <w:sz w:val="24"/>
          <w:szCs w:val="24"/>
          <w:lang w:eastAsia="fr-FR"/>
        </w:rPr>
        <w:t xml:space="preserve"> l’équilibre du diabète et la survenue des complications. L’EBM donne raison aux diabétologues d’adultes, mais sans donner tort aux pédiatres. En effet, grâce aux stylos et aux pompes à insuline, grâce à l’</w:t>
      </w:r>
      <w:proofErr w:type="spellStart"/>
      <w:r w:rsidRPr="001F05B2">
        <w:rPr>
          <w:rFonts w:ascii="Times New Roman" w:eastAsia="Times New Roman" w:hAnsi="Times New Roman" w:cs="Times New Roman"/>
          <w:color w:val="000000"/>
          <w:sz w:val="24"/>
          <w:szCs w:val="24"/>
          <w:lang w:eastAsia="fr-FR"/>
        </w:rPr>
        <w:t>auto-surveillance</w:t>
      </w:r>
      <w:proofErr w:type="spellEnd"/>
      <w:r w:rsidRPr="001F05B2">
        <w:rPr>
          <w:rFonts w:ascii="Times New Roman" w:eastAsia="Times New Roman" w:hAnsi="Times New Roman" w:cs="Times New Roman"/>
          <w:color w:val="000000"/>
          <w:sz w:val="24"/>
          <w:szCs w:val="24"/>
          <w:lang w:eastAsia="fr-FR"/>
        </w:rPr>
        <w:t xml:space="preserve"> glycémique et aux nouvelles insulines, et grâce à l’éducation thérapeutique développée par des pionniers dans les centres hospitaliers, on peut désormais réaliser ce qui était auparavant impossible : pratiquer une médecine centrée sur le patient, et équilibrer le diabète pour éviter les complications. Séquelle de cette guerre de religion qui a divisé pendant un tiers de siècle la diabétologie française, le retard de notre pays à l’adoption de « l’insulinothérapie fonctionnelle », d’ailleurs toujours réservée par certains descendants du docteur H. </w:t>
      </w:r>
      <w:proofErr w:type="spellStart"/>
      <w:r w:rsidRPr="001F05B2">
        <w:rPr>
          <w:rFonts w:ascii="Times New Roman" w:eastAsia="Times New Roman" w:hAnsi="Times New Roman" w:cs="Times New Roman"/>
          <w:color w:val="000000"/>
          <w:sz w:val="24"/>
          <w:szCs w:val="24"/>
          <w:lang w:eastAsia="fr-FR"/>
        </w:rPr>
        <w:t>Chabanier</w:t>
      </w:r>
      <w:proofErr w:type="spellEnd"/>
      <w:r w:rsidRPr="001F05B2">
        <w:rPr>
          <w:rFonts w:ascii="Times New Roman" w:eastAsia="Times New Roman" w:hAnsi="Times New Roman" w:cs="Times New Roman"/>
          <w:color w:val="000000"/>
          <w:sz w:val="24"/>
          <w:szCs w:val="24"/>
          <w:lang w:eastAsia="fr-FR"/>
        </w:rPr>
        <w:t xml:space="preserve"> à « l’élite des patients » (bons en mathématiques et obsessionnels).</w:t>
      </w:r>
      <w:r w:rsidRPr="001F05B2">
        <w:rPr>
          <w:rFonts w:ascii="Times New Roman" w:eastAsia="Times New Roman" w:hAnsi="Times New Roman" w:cs="Times New Roman"/>
          <w:color w:val="000000"/>
          <w:sz w:val="24"/>
          <w:szCs w:val="24"/>
          <w:lang w:eastAsia="fr-FR"/>
        </w:rPr>
        <w:br/>
        <w:t xml:space="preserve">• En 1972, Leona V. Miller et Jack Goldstein, publient dans le New </w:t>
      </w:r>
      <w:proofErr w:type="spellStart"/>
      <w:r w:rsidRPr="001F05B2">
        <w:rPr>
          <w:rFonts w:ascii="Times New Roman" w:eastAsia="Times New Roman" w:hAnsi="Times New Roman" w:cs="Times New Roman"/>
          <w:color w:val="000000"/>
          <w:sz w:val="24"/>
          <w:szCs w:val="24"/>
          <w:lang w:eastAsia="fr-FR"/>
        </w:rPr>
        <w:t>England</w:t>
      </w:r>
      <w:proofErr w:type="spellEnd"/>
      <w:r w:rsidRPr="001F05B2">
        <w:rPr>
          <w:rFonts w:ascii="Times New Roman" w:eastAsia="Times New Roman" w:hAnsi="Times New Roman" w:cs="Times New Roman"/>
          <w:color w:val="000000"/>
          <w:sz w:val="24"/>
          <w:szCs w:val="24"/>
          <w:lang w:eastAsia="fr-FR"/>
        </w:rPr>
        <w:t xml:space="preserve"> Journal of </w:t>
      </w:r>
      <w:proofErr w:type="spellStart"/>
      <w:r w:rsidRPr="001F05B2">
        <w:rPr>
          <w:rFonts w:ascii="Times New Roman" w:eastAsia="Times New Roman" w:hAnsi="Times New Roman" w:cs="Times New Roman"/>
          <w:color w:val="000000"/>
          <w:sz w:val="24"/>
          <w:szCs w:val="24"/>
          <w:lang w:eastAsia="fr-FR"/>
        </w:rPr>
        <w:t>Medecine</w:t>
      </w:r>
      <w:proofErr w:type="spellEnd"/>
      <w:r w:rsidRPr="001F05B2">
        <w:rPr>
          <w:rFonts w:ascii="Times New Roman" w:eastAsia="Times New Roman" w:hAnsi="Times New Roman" w:cs="Times New Roman"/>
          <w:color w:val="000000"/>
          <w:sz w:val="24"/>
          <w:szCs w:val="24"/>
          <w:lang w:eastAsia="fr-FR"/>
        </w:rPr>
        <w:t xml:space="preserve"> , un article [ 65 ] montrant le bénéfice d’une éducation minimale dans la population pauvre de Los Angeles (États-Unis). Une aide téléphonique (déjà la « télémédecine » !) et une consultation systématique au service des urgences d’une infirmière spécialisée et d’un résident du service de diabétologie (déjà l</w:t>
      </w:r>
      <w:proofErr w:type="gramStart"/>
      <w:r w:rsidRPr="001F05B2">
        <w:rPr>
          <w:rFonts w:ascii="Times New Roman" w:eastAsia="Times New Roman" w:hAnsi="Times New Roman" w:cs="Times New Roman"/>
          <w:color w:val="000000"/>
          <w:sz w:val="24"/>
          <w:szCs w:val="24"/>
          <w:lang w:eastAsia="fr-FR"/>
        </w:rPr>
        <w:t>’«</w:t>
      </w:r>
      <w:proofErr w:type="gramEnd"/>
      <w:r w:rsidRPr="001F05B2">
        <w:rPr>
          <w:rFonts w:ascii="Times New Roman" w:eastAsia="Times New Roman" w:hAnsi="Times New Roman" w:cs="Times New Roman"/>
          <w:color w:val="000000"/>
          <w:sz w:val="24"/>
          <w:szCs w:val="24"/>
          <w:lang w:eastAsia="fr-FR"/>
        </w:rPr>
        <w:t xml:space="preserve"> équipe mobile » !) permettent de diviser par trois les hospitalisations et de réduire des deux tiers les comas. À vrai dire, l’article porte moins sur l’éducation que sur le bénéfice économique, estimé entre 1,7 et 3,4 millions de dollars (voilà qui aurait dû faire réfléchir les partisans de l’inflationniste Tarification à l’activité, « T2A », poussant à « l’</w:t>
      </w:r>
      <w:proofErr w:type="spellStart"/>
      <w:r w:rsidRPr="001F05B2">
        <w:rPr>
          <w:rFonts w:ascii="Times New Roman" w:eastAsia="Times New Roman" w:hAnsi="Times New Roman" w:cs="Times New Roman"/>
          <w:color w:val="000000"/>
          <w:sz w:val="24"/>
          <w:szCs w:val="24"/>
          <w:lang w:eastAsia="fr-FR"/>
        </w:rPr>
        <w:t>hospitalocentrisme</w:t>
      </w:r>
      <w:proofErr w:type="spellEnd"/>
      <w:r w:rsidRPr="001F05B2">
        <w:rPr>
          <w:rFonts w:ascii="Times New Roman" w:eastAsia="Times New Roman" w:hAnsi="Times New Roman" w:cs="Times New Roman"/>
          <w:color w:val="000000"/>
          <w:sz w:val="24"/>
          <w:szCs w:val="24"/>
          <w:lang w:eastAsia="fr-FR"/>
        </w:rPr>
        <w:t xml:space="preserve"> » et inadaptée à la maladie chronique !).</w:t>
      </w:r>
    </w:p>
    <w:p w14:paraId="5BD73A7F" w14:textId="77777777" w:rsidR="001F05B2" w:rsidRPr="001F05B2" w:rsidRDefault="001F05B2" w:rsidP="00072050">
      <w:pPr>
        <w:spacing w:after="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b/>
          <w:bCs/>
          <w:color w:val="000000"/>
          <w:sz w:val="24"/>
          <w:szCs w:val="24"/>
          <w:bdr w:val="none" w:sz="0" w:space="0" w:color="auto" w:frame="1"/>
          <w:lang w:eastAsia="fr-FR"/>
        </w:rPr>
        <w:t>La 2</w:t>
      </w:r>
      <w:r w:rsidRPr="001F05B2">
        <w:rPr>
          <w:rFonts w:ascii="Times New Roman" w:eastAsia="Times New Roman" w:hAnsi="Times New Roman" w:cs="Times New Roman"/>
          <w:b/>
          <w:bCs/>
          <w:color w:val="000000"/>
          <w:sz w:val="24"/>
          <w:szCs w:val="24"/>
          <w:bdr w:val="none" w:sz="0" w:space="0" w:color="auto" w:frame="1"/>
          <w:vertAlign w:val="superscript"/>
          <w:lang w:eastAsia="fr-FR"/>
        </w:rPr>
        <w:t>e </w:t>
      </w:r>
      <w:r w:rsidRPr="001F05B2">
        <w:rPr>
          <w:rFonts w:ascii="Times New Roman" w:eastAsia="Times New Roman" w:hAnsi="Times New Roman" w:cs="Times New Roman"/>
          <w:b/>
          <w:bCs/>
          <w:color w:val="000000"/>
          <w:sz w:val="24"/>
          <w:szCs w:val="24"/>
          <w:bdr w:val="none" w:sz="0" w:space="0" w:color="auto" w:frame="1"/>
          <w:lang w:eastAsia="fr-FR"/>
        </w:rPr>
        <w:t>ère de l’ETP (1972-1999)</w:t>
      </w:r>
    </w:p>
    <w:p w14:paraId="39F08926"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 La première période de l’éducation du patient a donc duré 50 ans, de 1922 à 1972. La deuxième période commence avec le mouvement de 1968. Les années post-1968 sont caractérisées par une remise en cause de l’autorité et de la hiérarchie, à l’usine comme à l’école, et dans la famille. Le mouvement féministe se développe. L’autogestion et la participation sont à la mode. Les savoirs sont questionnés. L’hôpital n’échappe pas à ces bouleversements : les rapports entre les « patrons » en médecine et leurs collaborateurs, entre les professeurs et les étudiants en médecine, entre les médecins et les infirmières et, finalement, entre les médecins et les malades, changent radicalement. C’est dans ce contexte de remise en cause et de créativité que se développe l’éducation thérapeutique.</w:t>
      </w:r>
      <w:r w:rsidRPr="001F05B2">
        <w:rPr>
          <w:rFonts w:ascii="Times New Roman" w:eastAsia="Times New Roman" w:hAnsi="Times New Roman" w:cs="Times New Roman"/>
          <w:color w:val="000000"/>
          <w:sz w:val="24"/>
          <w:szCs w:val="24"/>
          <w:lang w:eastAsia="fr-FR"/>
        </w:rPr>
        <w:br/>
        <w:t>Mais elle ne se développe presque exclusivement qu’à l’hôpital, et ni en clinique, ni en ville. Et ce, pour deux raisons :</w:t>
      </w:r>
    </w:p>
    <w:p w14:paraId="7AD54380"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br/>
        <w:t>• 1)</w:t>
      </w:r>
      <w:r w:rsidR="00072050">
        <w:rPr>
          <w:rFonts w:ascii="Times New Roman" w:eastAsia="Times New Roman" w:hAnsi="Times New Roman" w:cs="Times New Roman"/>
          <w:color w:val="000000"/>
          <w:sz w:val="24"/>
          <w:szCs w:val="24"/>
          <w:lang w:eastAsia="fr-FR"/>
        </w:rPr>
        <w:t xml:space="preserve"> </w:t>
      </w:r>
      <w:r w:rsidRPr="001F05B2">
        <w:rPr>
          <w:rFonts w:ascii="Times New Roman" w:eastAsia="Times New Roman" w:hAnsi="Times New Roman" w:cs="Times New Roman"/>
          <w:color w:val="000000"/>
          <w:sz w:val="24"/>
          <w:szCs w:val="24"/>
          <w:lang w:eastAsia="fr-FR"/>
        </w:rPr>
        <w:t xml:space="preserve">l’hôpital dispose d’un « budget global » facilitant « la prise en charge globale » des </w:t>
      </w:r>
      <w:proofErr w:type="gramStart"/>
      <w:r w:rsidRPr="001F05B2">
        <w:rPr>
          <w:rFonts w:ascii="Times New Roman" w:eastAsia="Times New Roman" w:hAnsi="Times New Roman" w:cs="Times New Roman"/>
          <w:color w:val="000000"/>
          <w:sz w:val="24"/>
          <w:szCs w:val="24"/>
          <w:lang w:eastAsia="fr-FR"/>
        </w:rPr>
        <w:t>patients;</w:t>
      </w:r>
      <w:proofErr w:type="gramEnd"/>
      <w:r w:rsidRPr="001F05B2">
        <w:rPr>
          <w:rFonts w:ascii="Times New Roman" w:eastAsia="Times New Roman" w:hAnsi="Times New Roman" w:cs="Times New Roman"/>
          <w:color w:val="000000"/>
          <w:sz w:val="24"/>
          <w:szCs w:val="24"/>
          <w:lang w:eastAsia="fr-FR"/>
        </w:rPr>
        <w:br/>
        <w:t>•2)</w:t>
      </w:r>
      <w:r w:rsidR="00072050">
        <w:rPr>
          <w:rFonts w:ascii="Times New Roman" w:eastAsia="Times New Roman" w:hAnsi="Times New Roman" w:cs="Times New Roman"/>
          <w:color w:val="000000"/>
          <w:sz w:val="24"/>
          <w:szCs w:val="24"/>
          <w:lang w:eastAsia="fr-FR"/>
        </w:rPr>
        <w:t xml:space="preserve"> </w:t>
      </w:r>
      <w:r w:rsidRPr="001F05B2">
        <w:rPr>
          <w:rFonts w:ascii="Times New Roman" w:eastAsia="Times New Roman" w:hAnsi="Times New Roman" w:cs="Times New Roman"/>
          <w:color w:val="000000"/>
          <w:sz w:val="24"/>
          <w:szCs w:val="24"/>
          <w:lang w:eastAsia="fr-FR"/>
        </w:rPr>
        <w:t>il existe à l’hôpital des professionnels, médecins et paramédicaux, pouvant, s’ils le souhaitent, se former ensemble à l’ETP et travailler en équipe.</w:t>
      </w:r>
      <w:r w:rsidRPr="001F05B2">
        <w:rPr>
          <w:rFonts w:ascii="Times New Roman" w:eastAsia="Times New Roman" w:hAnsi="Times New Roman" w:cs="Times New Roman"/>
          <w:color w:val="000000"/>
          <w:sz w:val="24"/>
          <w:szCs w:val="24"/>
          <w:lang w:eastAsia="fr-FR"/>
        </w:rPr>
        <w:br/>
        <w:t xml:space="preserve">• En 1977, est créé, au sein de la société savante européenne du diabète ( </w:t>
      </w:r>
      <w:proofErr w:type="spellStart"/>
      <w:r w:rsidRPr="001F05B2">
        <w:rPr>
          <w:rFonts w:ascii="Times New Roman" w:eastAsia="Times New Roman" w:hAnsi="Times New Roman" w:cs="Times New Roman"/>
          <w:color w:val="000000"/>
          <w:sz w:val="24"/>
          <w:szCs w:val="24"/>
          <w:lang w:eastAsia="fr-FR"/>
        </w:rPr>
        <w:t>European</w:t>
      </w:r>
      <w:proofErr w:type="spellEnd"/>
      <w:r w:rsidRPr="001F05B2">
        <w:rPr>
          <w:rFonts w:ascii="Times New Roman" w:eastAsia="Times New Roman" w:hAnsi="Times New Roman" w:cs="Times New Roman"/>
          <w:color w:val="000000"/>
          <w:sz w:val="24"/>
          <w:szCs w:val="24"/>
          <w:lang w:eastAsia="fr-FR"/>
        </w:rPr>
        <w:t xml:space="preserve"> Association for the </w:t>
      </w:r>
      <w:proofErr w:type="spellStart"/>
      <w:r w:rsidRPr="001F05B2">
        <w:rPr>
          <w:rFonts w:ascii="Times New Roman" w:eastAsia="Times New Roman" w:hAnsi="Times New Roman" w:cs="Times New Roman"/>
          <w:color w:val="000000"/>
          <w:sz w:val="24"/>
          <w:szCs w:val="24"/>
          <w:lang w:eastAsia="fr-FR"/>
        </w:rPr>
        <w:t>Study</w:t>
      </w:r>
      <w:proofErr w:type="spellEnd"/>
      <w:r w:rsidRPr="001F05B2">
        <w:rPr>
          <w:rFonts w:ascii="Times New Roman" w:eastAsia="Times New Roman" w:hAnsi="Times New Roman" w:cs="Times New Roman"/>
          <w:color w:val="000000"/>
          <w:sz w:val="24"/>
          <w:szCs w:val="24"/>
          <w:lang w:eastAsia="fr-FR"/>
        </w:rPr>
        <w:t xml:space="preserve"> of </w:t>
      </w:r>
      <w:proofErr w:type="spellStart"/>
      <w:r w:rsidRPr="001F05B2">
        <w:rPr>
          <w:rFonts w:ascii="Times New Roman" w:eastAsia="Times New Roman" w:hAnsi="Times New Roman" w:cs="Times New Roman"/>
          <w:color w:val="000000"/>
          <w:sz w:val="24"/>
          <w:szCs w:val="24"/>
          <w:lang w:eastAsia="fr-FR"/>
        </w:rPr>
        <w:t>Diabetes</w:t>
      </w:r>
      <w:proofErr w:type="spellEnd"/>
      <w:r w:rsidRPr="001F05B2">
        <w:rPr>
          <w:rFonts w:ascii="Times New Roman" w:eastAsia="Times New Roman" w:hAnsi="Times New Roman" w:cs="Times New Roman"/>
          <w:color w:val="000000"/>
          <w:sz w:val="24"/>
          <w:szCs w:val="24"/>
          <w:lang w:eastAsia="fr-FR"/>
        </w:rPr>
        <w:t xml:space="preserve"> [EASD]), par le suisse J.-Ph. </w:t>
      </w:r>
      <w:proofErr w:type="spellStart"/>
      <w:r w:rsidRPr="001F05B2">
        <w:rPr>
          <w:rFonts w:ascii="Times New Roman" w:eastAsia="Times New Roman" w:hAnsi="Times New Roman" w:cs="Times New Roman"/>
          <w:color w:val="000000"/>
          <w:sz w:val="24"/>
          <w:szCs w:val="24"/>
          <w:lang w:eastAsia="fr-FR"/>
        </w:rPr>
        <w:t>Assal</w:t>
      </w:r>
      <w:proofErr w:type="spellEnd"/>
      <w:r w:rsidRPr="001F05B2">
        <w:rPr>
          <w:rFonts w:ascii="Times New Roman" w:eastAsia="Times New Roman" w:hAnsi="Times New Roman" w:cs="Times New Roman"/>
          <w:color w:val="000000"/>
          <w:sz w:val="24"/>
          <w:szCs w:val="24"/>
          <w:lang w:eastAsia="fr-FR"/>
        </w:rPr>
        <w:t xml:space="preserve">, le français Jean Canivet, et l’allemand Michael Berger, le </w:t>
      </w:r>
      <w:proofErr w:type="spellStart"/>
      <w:r w:rsidRPr="001F05B2">
        <w:rPr>
          <w:rFonts w:ascii="Times New Roman" w:eastAsia="Times New Roman" w:hAnsi="Times New Roman" w:cs="Times New Roman"/>
          <w:color w:val="000000"/>
          <w:sz w:val="24"/>
          <w:szCs w:val="24"/>
          <w:lang w:eastAsia="fr-FR"/>
        </w:rPr>
        <w:t>Diabetes</w:t>
      </w:r>
      <w:proofErr w:type="spellEnd"/>
      <w:r w:rsidRPr="001F05B2">
        <w:rPr>
          <w:rFonts w:ascii="Times New Roman" w:eastAsia="Times New Roman" w:hAnsi="Times New Roman" w:cs="Times New Roman"/>
          <w:color w:val="000000"/>
          <w:sz w:val="24"/>
          <w:szCs w:val="24"/>
          <w:lang w:eastAsia="fr-FR"/>
        </w:rPr>
        <w:t xml:space="preserve"> </w:t>
      </w:r>
      <w:proofErr w:type="spellStart"/>
      <w:r w:rsidRPr="001F05B2">
        <w:rPr>
          <w:rFonts w:ascii="Times New Roman" w:eastAsia="Times New Roman" w:hAnsi="Times New Roman" w:cs="Times New Roman"/>
          <w:color w:val="000000"/>
          <w:sz w:val="24"/>
          <w:szCs w:val="24"/>
          <w:lang w:eastAsia="fr-FR"/>
        </w:rPr>
        <w:t>Education</w:t>
      </w:r>
      <w:proofErr w:type="spellEnd"/>
      <w:r w:rsidRPr="001F05B2">
        <w:rPr>
          <w:rFonts w:ascii="Times New Roman" w:eastAsia="Times New Roman" w:hAnsi="Times New Roman" w:cs="Times New Roman"/>
          <w:color w:val="000000"/>
          <w:sz w:val="24"/>
          <w:szCs w:val="24"/>
          <w:lang w:eastAsia="fr-FR"/>
        </w:rPr>
        <w:t xml:space="preserve"> </w:t>
      </w:r>
      <w:proofErr w:type="spellStart"/>
      <w:r w:rsidRPr="001F05B2">
        <w:rPr>
          <w:rFonts w:ascii="Times New Roman" w:eastAsia="Times New Roman" w:hAnsi="Times New Roman" w:cs="Times New Roman"/>
          <w:color w:val="000000"/>
          <w:sz w:val="24"/>
          <w:szCs w:val="24"/>
          <w:lang w:eastAsia="fr-FR"/>
        </w:rPr>
        <w:t>Study</w:t>
      </w:r>
      <w:proofErr w:type="spellEnd"/>
      <w:r w:rsidRPr="001F05B2">
        <w:rPr>
          <w:rFonts w:ascii="Times New Roman" w:eastAsia="Times New Roman" w:hAnsi="Times New Roman" w:cs="Times New Roman"/>
          <w:color w:val="000000"/>
          <w:sz w:val="24"/>
          <w:szCs w:val="24"/>
          <w:lang w:eastAsia="fr-FR"/>
        </w:rPr>
        <w:t xml:space="preserve"> Group (DESG).</w:t>
      </w:r>
      <w:r w:rsidRPr="001F05B2">
        <w:rPr>
          <w:rFonts w:ascii="Times New Roman" w:eastAsia="Times New Roman" w:hAnsi="Times New Roman" w:cs="Times New Roman"/>
          <w:color w:val="000000"/>
          <w:sz w:val="24"/>
          <w:szCs w:val="24"/>
          <w:lang w:eastAsia="fr-FR"/>
        </w:rPr>
        <w:br/>
        <w:t>• En 1989, est adoptée par les représentants des organisations du diabète et des ministères de la santé des pays européens, la déclaration de Saint-Vincent, qui demande à l’Europe « d’organiser la formation et l’enseignement à la prise en charge du diabète par les intéressés, leurs familles, leurs amis et collègues ainsi que par les équipes soignantes ».</w:t>
      </w:r>
      <w:r w:rsidRPr="001F05B2">
        <w:rPr>
          <w:rFonts w:ascii="Times New Roman" w:eastAsia="Times New Roman" w:hAnsi="Times New Roman" w:cs="Times New Roman"/>
          <w:color w:val="000000"/>
          <w:sz w:val="24"/>
          <w:szCs w:val="24"/>
          <w:lang w:eastAsia="fr-FR"/>
        </w:rPr>
        <w:br/>
        <w:t xml:space="preserve">• En 1988, est créé par des médecins hospitaliers, Gérard Cathelineau et Serge Halimi, la section française du DESG, regroupant médecins et paramédicaux, qui va se structurer régionalement. Le DESG de langue française (DESG-LF) va former les professionnels, aider à construire des outils pédagogiques, organiser des colloques, stimuler la recherche en éducation du patient, et </w:t>
      </w:r>
    </w:p>
    <w:p w14:paraId="1AF19A75" w14:textId="77777777" w:rsidR="00072050" w:rsidRDefault="00072050" w:rsidP="00072050">
      <w:pPr>
        <w:spacing w:after="300" w:line="240" w:lineRule="auto"/>
        <w:jc w:val="both"/>
        <w:textAlignment w:val="baseline"/>
        <w:rPr>
          <w:rFonts w:ascii="Times New Roman" w:eastAsia="Times New Roman" w:hAnsi="Times New Roman" w:cs="Times New Roman"/>
          <w:color w:val="000000"/>
          <w:sz w:val="24"/>
          <w:szCs w:val="24"/>
          <w:lang w:eastAsia="fr-FR"/>
        </w:rPr>
      </w:pPr>
    </w:p>
    <w:p w14:paraId="5FA9D877"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proofErr w:type="gramStart"/>
      <w:r w:rsidRPr="001F05B2">
        <w:rPr>
          <w:rFonts w:ascii="Times New Roman" w:eastAsia="Times New Roman" w:hAnsi="Times New Roman" w:cs="Times New Roman"/>
          <w:color w:val="000000"/>
          <w:sz w:val="24"/>
          <w:szCs w:val="24"/>
          <w:lang w:eastAsia="fr-FR"/>
        </w:rPr>
        <w:t>promouvoir</w:t>
      </w:r>
      <w:proofErr w:type="gramEnd"/>
      <w:r w:rsidRPr="001F05B2">
        <w:rPr>
          <w:rFonts w:ascii="Times New Roman" w:eastAsia="Times New Roman" w:hAnsi="Times New Roman" w:cs="Times New Roman"/>
          <w:color w:val="000000"/>
          <w:sz w:val="24"/>
          <w:szCs w:val="24"/>
          <w:lang w:eastAsia="fr-FR"/>
        </w:rPr>
        <w:t xml:space="preserve"> l’ETP auprès des praticiens de ville et des institutions… Mais, ce travail s’est fait, au départ, indépendamment de la société savante (Association de langue française pour l’étude du diabète et des maladies métaboliques [ALFEDIAM], devenue depuis la Société francophone du diabète [SFD]) avec laquelle elle connaitra plus tard des conflits (2000). Ainsi, l’ETP s’est </w:t>
      </w:r>
      <w:proofErr w:type="gramStart"/>
      <w:r w:rsidRPr="001F05B2">
        <w:rPr>
          <w:rFonts w:ascii="Times New Roman" w:eastAsia="Times New Roman" w:hAnsi="Times New Roman" w:cs="Times New Roman"/>
          <w:color w:val="000000"/>
          <w:sz w:val="24"/>
          <w:szCs w:val="24"/>
          <w:lang w:eastAsia="fr-FR"/>
        </w:rPr>
        <w:t>marginalisée</w:t>
      </w:r>
      <w:proofErr w:type="gramEnd"/>
      <w:r w:rsidRPr="001F05B2">
        <w:rPr>
          <w:rFonts w:ascii="Times New Roman" w:eastAsia="Times New Roman" w:hAnsi="Times New Roman" w:cs="Times New Roman"/>
          <w:color w:val="000000"/>
          <w:sz w:val="24"/>
          <w:szCs w:val="24"/>
          <w:lang w:eastAsia="fr-FR"/>
        </w:rPr>
        <w:t xml:space="preserve"> au sein du congrès annuel de la SFD, quoiqu‘elle ait trouvé une place importante au sein du congrès de la SFD paramédicale. En 2011, le DESG français se divise sur la question de son rapport à la diabétologie (dedans, ou en dehors de la SFD ?) et devient l’Association française pour le développement de l’éducation thérapeutique (AFDET), décidant de s’intéresser à l’ensemble des pathologies chroniques. Cette séparation de la SFD soulève la question de l’importance dans l’ETP, de la personnalisation des traitements, et des apprentissages d’</w:t>
      </w:r>
      <w:proofErr w:type="spellStart"/>
      <w:r w:rsidRPr="001F05B2">
        <w:rPr>
          <w:rFonts w:ascii="Times New Roman" w:eastAsia="Times New Roman" w:hAnsi="Times New Roman" w:cs="Times New Roman"/>
          <w:color w:val="000000"/>
          <w:sz w:val="24"/>
          <w:szCs w:val="24"/>
          <w:lang w:eastAsia="fr-FR"/>
        </w:rPr>
        <w:t>auto-soins</w:t>
      </w:r>
      <w:proofErr w:type="spellEnd"/>
      <w:r w:rsidRPr="001F05B2">
        <w:rPr>
          <w:rFonts w:ascii="Times New Roman" w:eastAsia="Times New Roman" w:hAnsi="Times New Roman" w:cs="Times New Roman"/>
          <w:color w:val="000000"/>
          <w:sz w:val="24"/>
          <w:szCs w:val="24"/>
          <w:lang w:eastAsia="fr-FR"/>
        </w:rPr>
        <w:t xml:space="preserve"> spécialisés par rapport à « l’accompagnement » du patient. Pour éduquer en se centrant sur l’enseigné, il faut une expertise disciplinaire beaucoup plus grande que pour simplement prescrire, informer, et expliquer… En 2002, est créé la Société d’éducation thérapeutique européenne (SETE).</w:t>
      </w:r>
    </w:p>
    <w:p w14:paraId="2D2F81A2"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br/>
        <w:t>• Parallèlement au développement de l’ETP à l’hôpital, le plus souvent à l’initiative de médecins hospitaliers, se développent des réseaux ville–hôpital visant à transposer l’ETP et le travail d’équipe, de l’hôpital à la ville. Ces réseaux vont buter sur deux limites structurelles, d’une part, ils sont spécialisés et ne correspondent pas aux besoins pluridisciplinaires des médecins généralistes (MG) et, d’autre part, la rémunération des professionnels reste, pour l’essentiel, un paiement à l’acte poussant à réclamer la reconnaissance financière de l’acte d’éducation. De plus, beaucoup de MG préfèrent confier l’ETP à une infirmière, comme le montre le succès du protocole ASALEE (pour Action de santé libérale en équipe) (2004) [ 66 ] où les Agences régionales de santé (ARS) financent une infirmière pour réaliser pour un groupe de MG des tâches de coordination, d’organisations, de dépistage, et d’ETP.</w:t>
      </w:r>
      <w:r w:rsidRPr="001F05B2">
        <w:rPr>
          <w:rFonts w:ascii="Times New Roman" w:eastAsia="Times New Roman" w:hAnsi="Times New Roman" w:cs="Times New Roman"/>
          <w:color w:val="000000"/>
          <w:sz w:val="24"/>
          <w:szCs w:val="24"/>
          <w:lang w:eastAsia="fr-FR"/>
        </w:rPr>
        <w:br/>
        <w:t>– En 1998, l’Organisation mondiale de la santé (OMS) propose une définition qui stipule que l’ETP est « un processus continu, intégré dans les soins et centré sur le patient. L’éducation implique des activités organisées de sensibilisation, d’information, d’apprentissage, d’autogestion et de soutien psychologique… ».</w:t>
      </w:r>
    </w:p>
    <w:p w14:paraId="4440F43E"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br/>
        <w:t>• Parallèlement, l’épidémie de Sida (pour Syndrome d’immunodéficience acquise) va susciter la création d’associations de patients jouant un rôle essentiel, d’abord, dans l’accompagnement des malades et la prévention de cette maladie pour laquelle on n’a pas de traitement étiologique, puis, dans la gestion des traitements et leur accessibilité à l’ensemble des patients et, enfin, dans l’orientation de la recherche. Dans leur sillage, les associations de patients se regroupent pour devenir un acteur incontournable du système de santé.</w:t>
      </w:r>
      <w:r w:rsidRPr="001F05B2">
        <w:rPr>
          <w:rFonts w:ascii="Times New Roman" w:eastAsia="Times New Roman" w:hAnsi="Times New Roman" w:cs="Times New Roman"/>
          <w:color w:val="000000"/>
          <w:sz w:val="24"/>
          <w:szCs w:val="24"/>
          <w:lang w:eastAsia="fr-FR"/>
        </w:rPr>
        <w:br/>
        <w:t xml:space="preserve">– En 1999, Philippe </w:t>
      </w:r>
      <w:proofErr w:type="spellStart"/>
      <w:r w:rsidRPr="001F05B2">
        <w:rPr>
          <w:rFonts w:ascii="Times New Roman" w:eastAsia="Times New Roman" w:hAnsi="Times New Roman" w:cs="Times New Roman"/>
          <w:color w:val="000000"/>
          <w:sz w:val="24"/>
          <w:szCs w:val="24"/>
          <w:lang w:eastAsia="fr-FR"/>
        </w:rPr>
        <w:t>Barrier</w:t>
      </w:r>
      <w:proofErr w:type="spellEnd"/>
      <w:r w:rsidRPr="001F05B2">
        <w:rPr>
          <w:rFonts w:ascii="Times New Roman" w:eastAsia="Times New Roman" w:hAnsi="Times New Roman" w:cs="Times New Roman"/>
          <w:color w:val="000000"/>
          <w:sz w:val="24"/>
          <w:szCs w:val="24"/>
          <w:lang w:eastAsia="fr-FR"/>
        </w:rPr>
        <w:t xml:space="preserve">, philosophe, diabétique de type 1 « honoraire », ayant bénéficié d’une double greffe du rein et du pancréas, déclare, en s’adressant à un parterre de 800 diabétologues sidérés : « Mesdames et messieurs les diabétologues, chers docteurs, pouvez-vous vous départir de votre devoir de bienfaisance ? ». Disciple de Georges Canguilhem </w:t>
      </w:r>
      <w:proofErr w:type="gramStart"/>
      <w:r w:rsidRPr="001F05B2">
        <w:rPr>
          <w:rFonts w:ascii="Times New Roman" w:eastAsia="Times New Roman" w:hAnsi="Times New Roman" w:cs="Times New Roman"/>
          <w:color w:val="000000"/>
          <w:sz w:val="24"/>
          <w:szCs w:val="24"/>
          <w:lang w:eastAsia="fr-FR"/>
        </w:rPr>
        <w:t>[ 67</w:t>
      </w:r>
      <w:proofErr w:type="gramEnd"/>
      <w:r w:rsidRPr="001F05B2">
        <w:rPr>
          <w:rFonts w:ascii="Times New Roman" w:eastAsia="Times New Roman" w:hAnsi="Times New Roman" w:cs="Times New Roman"/>
          <w:color w:val="000000"/>
          <w:sz w:val="24"/>
          <w:szCs w:val="24"/>
          <w:lang w:eastAsia="fr-FR"/>
        </w:rPr>
        <w:t xml:space="preserve"> ], il estime en effet que le rôle du médecin est d’indiquer le chemin au patient qui « sait où il veut aller ». Le but de l’ETP est de permettre l’épanouissement de « l’</w:t>
      </w:r>
      <w:proofErr w:type="spellStart"/>
      <w:r w:rsidRPr="001F05B2">
        <w:rPr>
          <w:rFonts w:ascii="Times New Roman" w:eastAsia="Times New Roman" w:hAnsi="Times New Roman" w:cs="Times New Roman"/>
          <w:color w:val="000000"/>
          <w:sz w:val="24"/>
          <w:szCs w:val="24"/>
          <w:lang w:eastAsia="fr-FR"/>
        </w:rPr>
        <w:t>autonormativité</w:t>
      </w:r>
      <w:proofErr w:type="spellEnd"/>
      <w:r w:rsidRPr="001F05B2">
        <w:rPr>
          <w:rFonts w:ascii="Times New Roman" w:eastAsia="Times New Roman" w:hAnsi="Times New Roman" w:cs="Times New Roman"/>
          <w:color w:val="000000"/>
          <w:sz w:val="24"/>
          <w:szCs w:val="24"/>
          <w:lang w:eastAsia="fr-FR"/>
        </w:rPr>
        <w:t xml:space="preserve"> » propre à chacun </w:t>
      </w:r>
      <w:proofErr w:type="gramStart"/>
      <w:r w:rsidRPr="001F05B2">
        <w:rPr>
          <w:rFonts w:ascii="Times New Roman" w:eastAsia="Times New Roman" w:hAnsi="Times New Roman" w:cs="Times New Roman"/>
          <w:color w:val="000000"/>
          <w:sz w:val="24"/>
          <w:szCs w:val="24"/>
          <w:lang w:eastAsia="fr-FR"/>
        </w:rPr>
        <w:t>[ 68</w:t>
      </w:r>
      <w:proofErr w:type="gramEnd"/>
      <w:r w:rsidRPr="001F05B2">
        <w:rPr>
          <w:rFonts w:ascii="Times New Roman" w:eastAsia="Times New Roman" w:hAnsi="Times New Roman" w:cs="Times New Roman"/>
          <w:color w:val="000000"/>
          <w:sz w:val="24"/>
          <w:szCs w:val="24"/>
          <w:lang w:eastAsia="fr-FR"/>
        </w:rPr>
        <w:t xml:space="preserve"> ].</w:t>
      </w:r>
    </w:p>
    <w:p w14:paraId="5298C9D8"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br/>
        <w:t xml:space="preserve">• Ces années de liberté et de créativité, de contestation et de conquête de nouveaux droits, du </w:t>
      </w:r>
    </w:p>
    <w:p w14:paraId="4FF9DCCF" w14:textId="77777777" w:rsidR="00072050" w:rsidRDefault="00072050" w:rsidP="00072050">
      <w:pPr>
        <w:spacing w:after="300" w:line="240" w:lineRule="auto"/>
        <w:jc w:val="both"/>
        <w:textAlignment w:val="baseline"/>
        <w:rPr>
          <w:rFonts w:ascii="Times New Roman" w:eastAsia="Times New Roman" w:hAnsi="Times New Roman" w:cs="Times New Roman"/>
          <w:color w:val="000000"/>
          <w:sz w:val="24"/>
          <w:szCs w:val="24"/>
          <w:lang w:eastAsia="fr-FR"/>
        </w:rPr>
      </w:pPr>
    </w:p>
    <w:p w14:paraId="6AEC0116" w14:textId="4A844939" w:rsidR="001F05B2" w:rsidRPr="001F05B2"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proofErr w:type="gramStart"/>
      <w:r w:rsidRPr="001F05B2">
        <w:rPr>
          <w:rFonts w:ascii="Times New Roman" w:eastAsia="Times New Roman" w:hAnsi="Times New Roman" w:cs="Times New Roman"/>
          <w:color w:val="000000"/>
          <w:sz w:val="24"/>
          <w:szCs w:val="24"/>
          <w:lang w:eastAsia="fr-FR"/>
        </w:rPr>
        <w:t>droit</w:t>
      </w:r>
      <w:proofErr w:type="gramEnd"/>
      <w:r w:rsidRPr="001F05B2">
        <w:rPr>
          <w:rFonts w:ascii="Times New Roman" w:eastAsia="Times New Roman" w:hAnsi="Times New Roman" w:cs="Times New Roman"/>
          <w:color w:val="000000"/>
          <w:sz w:val="24"/>
          <w:szCs w:val="24"/>
          <w:lang w:eastAsia="fr-FR"/>
        </w:rPr>
        <w:t xml:space="preserve"> à l’interruption volontaire de grossesse (IVG), en 1975, au droit des malades, en 2002 [ 69 ], voient aussi se développer, comme le revers de la médaille, le « tout à l’ego », le consumérisme, l’affaiblissement des valeurs publiques, les droits sans les devoirs, le relativisme débouchant sur le « à chacun sa vérité et tous experts ! », suivi aujourd’hui par l’ère de « la post-vérité », la mondialisation marchande et son « toujours plus », à laquelle la Santé ne fait pas exception…</w:t>
      </w:r>
    </w:p>
    <w:p w14:paraId="7AF298DB" w14:textId="77777777" w:rsidR="001F05B2" w:rsidRPr="001F05B2" w:rsidRDefault="001F05B2" w:rsidP="00072050">
      <w:pPr>
        <w:spacing w:after="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b/>
          <w:bCs/>
          <w:color w:val="000000"/>
          <w:sz w:val="24"/>
          <w:szCs w:val="24"/>
          <w:bdr w:val="none" w:sz="0" w:space="0" w:color="auto" w:frame="1"/>
          <w:lang w:eastAsia="fr-FR"/>
        </w:rPr>
        <w:t>La 3</w:t>
      </w:r>
      <w:r w:rsidRPr="001F05B2">
        <w:rPr>
          <w:rFonts w:ascii="Times New Roman" w:eastAsia="Times New Roman" w:hAnsi="Times New Roman" w:cs="Times New Roman"/>
          <w:b/>
          <w:bCs/>
          <w:color w:val="000000"/>
          <w:sz w:val="24"/>
          <w:szCs w:val="24"/>
          <w:bdr w:val="none" w:sz="0" w:space="0" w:color="auto" w:frame="1"/>
          <w:vertAlign w:val="superscript"/>
          <w:lang w:eastAsia="fr-FR"/>
        </w:rPr>
        <w:t>e </w:t>
      </w:r>
      <w:r w:rsidRPr="001F05B2">
        <w:rPr>
          <w:rFonts w:ascii="Times New Roman" w:eastAsia="Times New Roman" w:hAnsi="Times New Roman" w:cs="Times New Roman"/>
          <w:b/>
          <w:bCs/>
          <w:color w:val="000000"/>
          <w:sz w:val="24"/>
          <w:szCs w:val="24"/>
          <w:bdr w:val="none" w:sz="0" w:space="0" w:color="auto" w:frame="1"/>
          <w:lang w:eastAsia="fr-FR"/>
        </w:rPr>
        <w:t>ère de l’ETP (1999 à nos jours)</w:t>
      </w:r>
    </w:p>
    <w:p w14:paraId="632AF662"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 La 3</w:t>
      </w:r>
      <w:r w:rsidRPr="001F05B2">
        <w:rPr>
          <w:rFonts w:ascii="Times New Roman" w:eastAsia="Times New Roman" w:hAnsi="Times New Roman" w:cs="Times New Roman"/>
          <w:color w:val="000000"/>
          <w:sz w:val="24"/>
          <w:szCs w:val="24"/>
          <w:vertAlign w:val="superscript"/>
          <w:lang w:eastAsia="fr-FR"/>
        </w:rPr>
        <w:t>e</w:t>
      </w:r>
      <w:r w:rsidRPr="001F05B2">
        <w:rPr>
          <w:rFonts w:ascii="Times New Roman" w:eastAsia="Times New Roman" w:hAnsi="Times New Roman" w:cs="Times New Roman"/>
          <w:color w:val="000000"/>
          <w:sz w:val="24"/>
          <w:szCs w:val="24"/>
          <w:lang w:eastAsia="fr-FR"/>
        </w:rPr>
        <w:t xml:space="preserve"> ère de l’ETP commence à la fin du siècle précédent, à la suite du développement de ce que l’on a appelé le « néolibéralisme ». L‘accession au pouvoir de Ronald Reagan aux États-Unis et de Margaret Thatcher en Grande-Bretagne, marquent, dans les années 1980, la fin de « l’État-providence » issu de la seconde guerre mondiale, et progressivement remplacé par l’État promoteur et régulateur du marché généralisé. Le dogme devient celui de la libre concurrence sur le marché, censée produire la meilleure qualité au plus bas coût. Tout ce qui entrave la libre concurrence doit désormais être supprimé, et toutes les activités humaines susceptibles d’être quantifiées doivent, si ce n’est être vendues, du moins être soumises à une gestion privée visant la rentabilité. La Santé et l’enseignement n‘échappent pas à cette règle universelle, l’État devant se replier sur ses fonctions régaliennes et jouer le rôle de régulateur en cas de distorsion manifeste de la concurrence. Sous l’influence combinée de cette « pensée managériale de marché », de la dérive de l’EBM, et du progrès technologique apporté par les nouvelles technologies de l’information et de la communication (NTIC) et la robotisation, certains proclament la mort de la clinique et de la médecine hippocratique </w:t>
      </w:r>
      <w:proofErr w:type="gramStart"/>
      <w:r w:rsidRPr="001F05B2">
        <w:rPr>
          <w:rFonts w:ascii="Times New Roman" w:eastAsia="Times New Roman" w:hAnsi="Times New Roman" w:cs="Times New Roman"/>
          <w:color w:val="000000"/>
          <w:sz w:val="24"/>
          <w:szCs w:val="24"/>
          <w:lang w:eastAsia="fr-FR"/>
        </w:rPr>
        <w:t>[ 70</w:t>
      </w:r>
      <w:proofErr w:type="gramEnd"/>
      <w:r w:rsidRPr="001F05B2">
        <w:rPr>
          <w:rFonts w:ascii="Times New Roman" w:eastAsia="Times New Roman" w:hAnsi="Times New Roman" w:cs="Times New Roman"/>
          <w:color w:val="000000"/>
          <w:sz w:val="24"/>
          <w:szCs w:val="24"/>
          <w:lang w:eastAsia="fr-FR"/>
        </w:rPr>
        <w:t xml:space="preserve"> ]. Ils estiment que le médecin devient un ingénieur, la médecine une industrie, l’hôpital une entreprise, et le patient, un client porteur de maladie. Jean de </w:t>
      </w:r>
      <w:proofErr w:type="spellStart"/>
      <w:r w:rsidRPr="001F05B2">
        <w:rPr>
          <w:rFonts w:ascii="Times New Roman" w:eastAsia="Times New Roman" w:hAnsi="Times New Roman" w:cs="Times New Roman"/>
          <w:color w:val="000000"/>
          <w:sz w:val="24"/>
          <w:szCs w:val="24"/>
          <w:lang w:eastAsia="fr-FR"/>
        </w:rPr>
        <w:t>Kervasdoué</w:t>
      </w:r>
      <w:proofErr w:type="spellEnd"/>
      <w:r w:rsidRPr="001F05B2">
        <w:rPr>
          <w:rFonts w:ascii="Times New Roman" w:eastAsia="Times New Roman" w:hAnsi="Times New Roman" w:cs="Times New Roman"/>
          <w:color w:val="000000"/>
          <w:sz w:val="24"/>
          <w:szCs w:val="24"/>
          <w:lang w:eastAsia="fr-FR"/>
        </w:rPr>
        <w:t xml:space="preserve">, ancien directeur général des hôpitaux, écrit dans son ouvrage de la collection Que sais-je </w:t>
      </w:r>
      <w:proofErr w:type="gramStart"/>
      <w:r w:rsidRPr="001F05B2">
        <w:rPr>
          <w:rFonts w:ascii="Times New Roman" w:eastAsia="Times New Roman" w:hAnsi="Times New Roman" w:cs="Times New Roman"/>
          <w:color w:val="000000"/>
          <w:sz w:val="24"/>
          <w:szCs w:val="24"/>
          <w:lang w:eastAsia="fr-FR"/>
        </w:rPr>
        <w:t>? ,</w:t>
      </w:r>
      <w:proofErr w:type="gramEnd"/>
      <w:r w:rsidRPr="001F05B2">
        <w:rPr>
          <w:rFonts w:ascii="Times New Roman" w:eastAsia="Times New Roman" w:hAnsi="Times New Roman" w:cs="Times New Roman"/>
          <w:color w:val="000000"/>
          <w:sz w:val="24"/>
          <w:szCs w:val="24"/>
          <w:lang w:eastAsia="fr-FR"/>
        </w:rPr>
        <w:t xml:space="preserve"> sur l’hôpital (2004) [ 71 ] : « L’élaboration de la stratégie d’un hôpital public ressemble justement à celle des autres entreprises. De nombreux hospitaliers sont convaincus de la spécificité absolue de leur secteur, il n’en est rien… Il convient d’analyser l’activité et la clientèle… même si le mot marketing est encore tabou du fait de sa connotation agressive -on cherche à vendre- c’est bien de cela dont il s’agit ici ». Le patient est devenu un « consommateur de santé » </w:t>
      </w:r>
      <w:proofErr w:type="gramStart"/>
      <w:r w:rsidRPr="001F05B2">
        <w:rPr>
          <w:rFonts w:ascii="Times New Roman" w:eastAsia="Times New Roman" w:hAnsi="Times New Roman" w:cs="Times New Roman"/>
          <w:color w:val="000000"/>
          <w:sz w:val="24"/>
          <w:szCs w:val="24"/>
          <w:lang w:eastAsia="fr-FR"/>
        </w:rPr>
        <w:t>[ 72</w:t>
      </w:r>
      <w:proofErr w:type="gramEnd"/>
      <w:r w:rsidRPr="001F05B2">
        <w:rPr>
          <w:rFonts w:ascii="Times New Roman" w:eastAsia="Times New Roman" w:hAnsi="Times New Roman" w:cs="Times New Roman"/>
          <w:color w:val="000000"/>
          <w:sz w:val="24"/>
          <w:szCs w:val="24"/>
          <w:lang w:eastAsia="fr-FR"/>
        </w:rPr>
        <w:t xml:space="preserve"> ], et même un « consommateur éclairé » qui évalue l’offre et fait ses choix, car « le consumérisme dépasse le cadre de la consommation des produits pour aborder celui de la consommation des services de quelque nature qu’ils soient. La santé est aujourd’hui considérée comme un service » </w:t>
      </w:r>
      <w:proofErr w:type="gramStart"/>
      <w:r w:rsidRPr="001F05B2">
        <w:rPr>
          <w:rFonts w:ascii="Times New Roman" w:eastAsia="Times New Roman" w:hAnsi="Times New Roman" w:cs="Times New Roman"/>
          <w:color w:val="000000"/>
          <w:sz w:val="24"/>
          <w:szCs w:val="24"/>
          <w:lang w:eastAsia="fr-FR"/>
        </w:rPr>
        <w:t>[ 72</w:t>
      </w:r>
      <w:proofErr w:type="gramEnd"/>
      <w:r w:rsidRPr="001F05B2">
        <w:rPr>
          <w:rFonts w:ascii="Times New Roman" w:eastAsia="Times New Roman" w:hAnsi="Times New Roman" w:cs="Times New Roman"/>
          <w:color w:val="000000"/>
          <w:sz w:val="24"/>
          <w:szCs w:val="24"/>
          <w:lang w:eastAsia="fr-FR"/>
        </w:rPr>
        <w:t xml:space="preserve"> ]. Si, dans cette logique, le malade est un « consommateur », il est donc aussi un client, et le contrat soignant/soigné rituellement évoqué en ETP devrait comporter, pour être bien réel, une clause financière… comme le souhaitent d’ailleurs les économistes utilitaristes et les assureurs proposant des bonus aux « bons patients » (avant de pouvoir imposer un malus aux « mauvais »). En effet, le patient éduqué n’est pas qu’un « consommateur de santé », il devient aussi un « producteur de santé » </w:t>
      </w:r>
      <w:proofErr w:type="gramStart"/>
      <w:r w:rsidRPr="001F05B2">
        <w:rPr>
          <w:rFonts w:ascii="Times New Roman" w:eastAsia="Times New Roman" w:hAnsi="Times New Roman" w:cs="Times New Roman"/>
          <w:color w:val="000000"/>
          <w:sz w:val="24"/>
          <w:szCs w:val="24"/>
          <w:lang w:eastAsia="fr-FR"/>
        </w:rPr>
        <w:t>[ 72</w:t>
      </w:r>
      <w:proofErr w:type="gramEnd"/>
      <w:r w:rsidRPr="001F05B2">
        <w:rPr>
          <w:rFonts w:ascii="Times New Roman" w:eastAsia="Times New Roman" w:hAnsi="Times New Roman" w:cs="Times New Roman"/>
          <w:color w:val="000000"/>
          <w:sz w:val="24"/>
          <w:szCs w:val="24"/>
          <w:lang w:eastAsia="fr-FR"/>
        </w:rPr>
        <w:t xml:space="preserve"> ] et, moyennant l’acquisition de compétences grâce à une formation « opératoire structurée », il peut devenir un expert. Expert non pas pour définir ses propres normes de vie avec la maladie, mais expert pour les autres patients. La Fédération française du diabète se propose de former au nouveau métier de « patient expert ». Le patient expert formé et « labellisé » serait un nouveau professionnel de santé spécialiste du vécu avec la maladie, et pas seulement de son vécu personnel </w:t>
      </w:r>
      <w:proofErr w:type="gramStart"/>
      <w:r w:rsidRPr="001F05B2">
        <w:rPr>
          <w:rFonts w:ascii="Times New Roman" w:eastAsia="Times New Roman" w:hAnsi="Times New Roman" w:cs="Times New Roman"/>
          <w:color w:val="000000"/>
          <w:sz w:val="24"/>
          <w:szCs w:val="24"/>
          <w:lang w:eastAsia="fr-FR"/>
        </w:rPr>
        <w:t>[ 73</w:t>
      </w:r>
      <w:proofErr w:type="gramEnd"/>
      <w:r w:rsidRPr="001F05B2">
        <w:rPr>
          <w:rFonts w:ascii="Times New Roman" w:eastAsia="Times New Roman" w:hAnsi="Times New Roman" w:cs="Times New Roman"/>
          <w:color w:val="000000"/>
          <w:sz w:val="24"/>
          <w:szCs w:val="24"/>
          <w:lang w:eastAsia="fr-FR"/>
        </w:rPr>
        <w:t xml:space="preserve"> ]. Quant à madame Tourette-</w:t>
      </w:r>
      <w:proofErr w:type="spellStart"/>
      <w:r w:rsidRPr="001F05B2">
        <w:rPr>
          <w:rFonts w:ascii="Times New Roman" w:eastAsia="Times New Roman" w:hAnsi="Times New Roman" w:cs="Times New Roman"/>
          <w:color w:val="000000"/>
          <w:sz w:val="24"/>
          <w:szCs w:val="24"/>
          <w:lang w:eastAsia="fr-FR"/>
        </w:rPr>
        <w:t>Turgis</w:t>
      </w:r>
      <w:proofErr w:type="spellEnd"/>
      <w:r w:rsidRPr="001F05B2">
        <w:rPr>
          <w:rFonts w:ascii="Times New Roman" w:eastAsia="Times New Roman" w:hAnsi="Times New Roman" w:cs="Times New Roman"/>
          <w:color w:val="000000"/>
          <w:sz w:val="24"/>
          <w:szCs w:val="24"/>
          <w:lang w:eastAsia="fr-FR"/>
        </w:rPr>
        <w:t xml:space="preserve">, psychologue universitaire, fondatrice de l’université des patients à Paris 6, elle estime </w:t>
      </w:r>
      <w:proofErr w:type="gramStart"/>
      <w:r w:rsidRPr="001F05B2">
        <w:rPr>
          <w:rFonts w:ascii="Times New Roman" w:eastAsia="Times New Roman" w:hAnsi="Times New Roman" w:cs="Times New Roman"/>
          <w:color w:val="000000"/>
          <w:sz w:val="24"/>
          <w:szCs w:val="24"/>
          <w:lang w:eastAsia="fr-FR"/>
        </w:rPr>
        <w:t>[ 74</w:t>
      </w:r>
      <w:proofErr w:type="gramEnd"/>
      <w:r w:rsidRPr="001F05B2">
        <w:rPr>
          <w:rFonts w:ascii="Times New Roman" w:eastAsia="Times New Roman" w:hAnsi="Times New Roman" w:cs="Times New Roman"/>
          <w:color w:val="000000"/>
          <w:sz w:val="24"/>
          <w:szCs w:val="24"/>
          <w:lang w:eastAsia="fr-FR"/>
        </w:rPr>
        <w:t xml:space="preserve"> ] que « La société cognitive de demain… rend caduc le maintien des frontières entre ceux qui détiennent le savoir, ceux qui le produisent et ceux qui en bénéficient, à tel point que personne n’apprend plus de personne mais que tout le monde a besoin d’apprendre à apprendre ». Éloge du relativisme ! Elle n’a que faire des </w:t>
      </w:r>
    </w:p>
    <w:p w14:paraId="29044944" w14:textId="77777777" w:rsidR="00072050" w:rsidRDefault="00072050" w:rsidP="00072050">
      <w:pPr>
        <w:spacing w:after="300" w:line="240" w:lineRule="auto"/>
        <w:jc w:val="both"/>
        <w:textAlignment w:val="baseline"/>
        <w:rPr>
          <w:rFonts w:ascii="Times New Roman" w:eastAsia="Times New Roman" w:hAnsi="Times New Roman" w:cs="Times New Roman"/>
          <w:color w:val="000000"/>
          <w:sz w:val="24"/>
          <w:szCs w:val="24"/>
          <w:lang w:eastAsia="fr-FR"/>
        </w:rPr>
      </w:pPr>
    </w:p>
    <w:p w14:paraId="32F113AA"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proofErr w:type="gramStart"/>
      <w:r w:rsidRPr="001F05B2">
        <w:rPr>
          <w:rFonts w:ascii="Times New Roman" w:eastAsia="Times New Roman" w:hAnsi="Times New Roman" w:cs="Times New Roman"/>
          <w:color w:val="000000"/>
          <w:sz w:val="24"/>
          <w:szCs w:val="24"/>
          <w:lang w:eastAsia="fr-FR"/>
        </w:rPr>
        <w:t>définitions</w:t>
      </w:r>
      <w:proofErr w:type="gramEnd"/>
      <w:r w:rsidRPr="001F05B2">
        <w:rPr>
          <w:rFonts w:ascii="Times New Roman" w:eastAsia="Times New Roman" w:hAnsi="Times New Roman" w:cs="Times New Roman"/>
          <w:color w:val="000000"/>
          <w:sz w:val="24"/>
          <w:szCs w:val="24"/>
          <w:lang w:eastAsia="fr-FR"/>
        </w:rPr>
        <w:t xml:space="preserve"> et des débats afférents. Notre post-modernité ne cherche plus, depuis longtemps, à éviter « d’ajouter au malheur du monde, en mal nommant les choses » [Albert Camus]. Selon madame Tourette-</w:t>
      </w:r>
      <w:proofErr w:type="spellStart"/>
      <w:r w:rsidRPr="001F05B2">
        <w:rPr>
          <w:rFonts w:ascii="Times New Roman" w:eastAsia="Times New Roman" w:hAnsi="Times New Roman" w:cs="Times New Roman"/>
          <w:color w:val="000000"/>
          <w:sz w:val="24"/>
          <w:szCs w:val="24"/>
          <w:lang w:eastAsia="fr-FR"/>
        </w:rPr>
        <w:t>Turgis</w:t>
      </w:r>
      <w:proofErr w:type="spellEnd"/>
      <w:r w:rsidRPr="001F05B2">
        <w:rPr>
          <w:rFonts w:ascii="Times New Roman" w:eastAsia="Times New Roman" w:hAnsi="Times New Roman" w:cs="Times New Roman"/>
          <w:color w:val="000000"/>
          <w:sz w:val="24"/>
          <w:szCs w:val="24"/>
          <w:lang w:eastAsia="fr-FR"/>
        </w:rPr>
        <w:t xml:space="preserve"> : « un malade tout au long de sa vie peut exercer plusieurs fonctions, comme celles de fournisseur de connaissances, consultant, formateur occasionnel, enseignant temporaire, représentant des usagers, directeur d’essais cliniques, créateur de start-up en santé ou tout autre métier où le fait d’être concerné directement fait la différence dans les logiques d’action mises en œuvre et les résultats obtenus en termes de bénéfices pour la collectivité ». On pourrait en conclure que la guérison serait, pour le « patient expert », une catastrophe professionnelle ! Quoi qu’il en soit ces « patients experts » prennent les soignants à revers. Alors que l’éthique du soin commande de ne jamais réduire un patient à sa maladie, voilà des patients qui font de leur maladie, le sens de leur vie et, à vrai dire, la dominante de leur emploi du temps. Assez souvent, il s’agit de personnalités fortes ayant dans un premier temps refusé leur maladie et l’ayant payé parfois très cher, puis se sont retournées à 180 degrés pour s’investir totalement dans la Santé, faire bénéficier les patients de leur expérience et, finalement, se soigner en soignant les autres </w:t>
      </w:r>
      <w:proofErr w:type="gramStart"/>
      <w:r w:rsidRPr="001F05B2">
        <w:rPr>
          <w:rFonts w:ascii="Times New Roman" w:eastAsia="Times New Roman" w:hAnsi="Times New Roman" w:cs="Times New Roman"/>
          <w:color w:val="000000"/>
          <w:sz w:val="24"/>
          <w:szCs w:val="24"/>
          <w:lang w:eastAsia="fr-FR"/>
        </w:rPr>
        <w:t>[ 75</w:t>
      </w:r>
      <w:proofErr w:type="gramEnd"/>
      <w:r w:rsidRPr="001F05B2">
        <w:rPr>
          <w:rFonts w:ascii="Times New Roman" w:eastAsia="Times New Roman" w:hAnsi="Times New Roman" w:cs="Times New Roman"/>
          <w:color w:val="000000"/>
          <w:sz w:val="24"/>
          <w:szCs w:val="24"/>
          <w:lang w:eastAsia="fr-FR"/>
        </w:rPr>
        <w:t xml:space="preserve"> ].</w:t>
      </w:r>
    </w:p>
    <w:p w14:paraId="4DB12846"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br/>
        <w:t xml:space="preserve">• L’approche pédagogique du « tout-compétence » et la modélisation de l’ETP en quatre étapes distinctes a indiscutablement favorisé la reconnaissance institutionnelle de l’ETP par la HAS, puis son inscription dans la loi dite « Hôpital, patients, santé et territoire » (HSPT) de 2009 (après le rapport de Christian </w:t>
      </w:r>
      <w:proofErr w:type="spellStart"/>
      <w:r w:rsidRPr="001F05B2">
        <w:rPr>
          <w:rFonts w:ascii="Times New Roman" w:eastAsia="Times New Roman" w:hAnsi="Times New Roman" w:cs="Times New Roman"/>
          <w:color w:val="000000"/>
          <w:sz w:val="24"/>
          <w:szCs w:val="24"/>
          <w:lang w:eastAsia="fr-FR"/>
        </w:rPr>
        <w:t>Saout</w:t>
      </w:r>
      <w:proofErr w:type="spellEnd"/>
      <w:r w:rsidRPr="001F05B2">
        <w:rPr>
          <w:rFonts w:ascii="Times New Roman" w:eastAsia="Times New Roman" w:hAnsi="Times New Roman" w:cs="Times New Roman"/>
          <w:color w:val="000000"/>
          <w:sz w:val="24"/>
          <w:szCs w:val="24"/>
          <w:lang w:eastAsia="fr-FR"/>
        </w:rPr>
        <w:t xml:space="preserve">, Bernard Charbonnel, et Dominique Bertrand </w:t>
      </w:r>
      <w:proofErr w:type="gramStart"/>
      <w:r w:rsidRPr="001F05B2">
        <w:rPr>
          <w:rFonts w:ascii="Times New Roman" w:eastAsia="Times New Roman" w:hAnsi="Times New Roman" w:cs="Times New Roman"/>
          <w:color w:val="000000"/>
          <w:sz w:val="24"/>
          <w:szCs w:val="24"/>
          <w:lang w:eastAsia="fr-FR"/>
        </w:rPr>
        <w:t>[ 76</w:t>
      </w:r>
      <w:proofErr w:type="gramEnd"/>
      <w:r w:rsidRPr="001F05B2">
        <w:rPr>
          <w:rFonts w:ascii="Times New Roman" w:eastAsia="Times New Roman" w:hAnsi="Times New Roman" w:cs="Times New Roman"/>
          <w:color w:val="000000"/>
          <w:sz w:val="24"/>
          <w:szCs w:val="24"/>
          <w:lang w:eastAsia="fr-FR"/>
        </w:rPr>
        <w:t xml:space="preserve"> ]). Mais la reconnaissance législative a, à son tour, facilité la capture de sa gestion par la </w:t>
      </w:r>
      <w:proofErr w:type="spellStart"/>
      <w:r w:rsidRPr="001F05B2">
        <w:rPr>
          <w:rFonts w:ascii="Times New Roman" w:eastAsia="Times New Roman" w:hAnsi="Times New Roman" w:cs="Times New Roman"/>
          <w:color w:val="000000"/>
          <w:sz w:val="24"/>
          <w:szCs w:val="24"/>
          <w:lang w:eastAsia="fr-FR"/>
        </w:rPr>
        <w:t>techno-bureaucratie</w:t>
      </w:r>
      <w:proofErr w:type="spellEnd"/>
      <w:r w:rsidRPr="001F05B2">
        <w:rPr>
          <w:rFonts w:ascii="Times New Roman" w:eastAsia="Times New Roman" w:hAnsi="Times New Roman" w:cs="Times New Roman"/>
          <w:color w:val="000000"/>
          <w:sz w:val="24"/>
          <w:szCs w:val="24"/>
          <w:lang w:eastAsia="fr-FR"/>
        </w:rPr>
        <w:t xml:space="preserve"> des ARS. L’ambivalence du succès n’échappe pas à la réflexion de Rémi </w:t>
      </w:r>
      <w:proofErr w:type="spellStart"/>
      <w:r w:rsidRPr="001F05B2">
        <w:rPr>
          <w:rFonts w:ascii="Times New Roman" w:eastAsia="Times New Roman" w:hAnsi="Times New Roman" w:cs="Times New Roman"/>
          <w:color w:val="000000"/>
          <w:sz w:val="24"/>
          <w:szCs w:val="24"/>
          <w:lang w:eastAsia="fr-FR"/>
        </w:rPr>
        <w:t>Gagnayre</w:t>
      </w:r>
      <w:proofErr w:type="spellEnd"/>
      <w:r w:rsidRPr="001F05B2">
        <w:rPr>
          <w:rFonts w:ascii="Times New Roman" w:eastAsia="Times New Roman" w:hAnsi="Times New Roman" w:cs="Times New Roman"/>
          <w:color w:val="000000"/>
          <w:sz w:val="24"/>
          <w:szCs w:val="24"/>
          <w:lang w:eastAsia="fr-FR"/>
        </w:rPr>
        <w:t xml:space="preserve">, qui ne manque pas de rappeler que le modèle original de l’école de Bobigny a été défiguré en se transformant en modèle d’ETP dissocié du soin. La mission centrale des ARS est de sortir l’ETP de l’hôpital pour le développer en ville. On assiste, dès lors, à une fragmentation des quatre étapes de l’ETP. Certains, pour gagner du temps, proposent de faire le « diagnostic éducatif » par téléphone, des médecins traitants estiment qu’il leur revient de faire le « diagnostic éducatif », et demandent aux soignants éducateurs « d’assurer seulement la formation et surtout de ne pas toucher au traitement ». Exit donc l’ETP intégrée aux soins ! Mais, le manuel de l’école de Bobigny « Apprendre à éduquer le patient » autorisait cette dissociation, en précisant qu’au cours de l’ETP « il ne s’agit pas de revenir sur les éléments du dossier médical ou du soins » </w:t>
      </w:r>
      <w:proofErr w:type="gramStart"/>
      <w:r w:rsidRPr="001F05B2">
        <w:rPr>
          <w:rFonts w:ascii="Times New Roman" w:eastAsia="Times New Roman" w:hAnsi="Times New Roman" w:cs="Times New Roman"/>
          <w:color w:val="000000"/>
          <w:sz w:val="24"/>
          <w:szCs w:val="24"/>
          <w:lang w:eastAsia="fr-FR"/>
        </w:rPr>
        <w:t>[ 72</w:t>
      </w:r>
      <w:proofErr w:type="gramEnd"/>
      <w:r w:rsidRPr="001F05B2">
        <w:rPr>
          <w:rFonts w:ascii="Times New Roman" w:eastAsia="Times New Roman" w:hAnsi="Times New Roman" w:cs="Times New Roman"/>
          <w:color w:val="000000"/>
          <w:sz w:val="24"/>
          <w:szCs w:val="24"/>
          <w:lang w:eastAsia="fr-FR"/>
        </w:rPr>
        <w:t xml:space="preserve"> ] ? Finalement, l’ETP tend à se transformer en une prestation supplémentaire réalisée par des paramédicaux formés en 40 heures, utilisant des outils pédagogiques fournis clés en main et se servant de check-lists ! Les assureurs, Sécurité sociale comme assurances privées complémentaires, souhaitent organiser elle mêmes l’ETP en salariant des professionnels. Le programme SOPHIA </w:t>
      </w:r>
      <w:proofErr w:type="gramStart"/>
      <w:r w:rsidRPr="001F05B2">
        <w:rPr>
          <w:rFonts w:ascii="Times New Roman" w:eastAsia="Times New Roman" w:hAnsi="Times New Roman" w:cs="Times New Roman"/>
          <w:color w:val="000000"/>
          <w:sz w:val="24"/>
          <w:szCs w:val="24"/>
          <w:lang w:eastAsia="fr-FR"/>
        </w:rPr>
        <w:t>[ 77</w:t>
      </w:r>
      <w:proofErr w:type="gramEnd"/>
      <w:r w:rsidRPr="001F05B2">
        <w:rPr>
          <w:rFonts w:ascii="Times New Roman" w:eastAsia="Times New Roman" w:hAnsi="Times New Roman" w:cs="Times New Roman"/>
          <w:color w:val="000000"/>
          <w:sz w:val="24"/>
          <w:szCs w:val="24"/>
          <w:lang w:eastAsia="fr-FR"/>
        </w:rPr>
        <w:t xml:space="preserve"> ], qui n’a pas démontré son utilité, mais qui permet de contourner le système de soins, ne pourrait n’être qu’un début. Ce programme pourrait, à l’avenir, être confié à des prestataires privés embauchant pour ce faire des paramédicaux, comme le montrent avec succès les prestataires de pompe à insuline. Quant à la prise en compte de « l’Humain », elle serait confiée aux associations de patients revendiquant « l’accompagnement » </w:t>
      </w:r>
      <w:proofErr w:type="gramStart"/>
      <w:r w:rsidRPr="001F05B2">
        <w:rPr>
          <w:rFonts w:ascii="Times New Roman" w:eastAsia="Times New Roman" w:hAnsi="Times New Roman" w:cs="Times New Roman"/>
          <w:color w:val="000000"/>
          <w:sz w:val="24"/>
          <w:szCs w:val="24"/>
          <w:lang w:eastAsia="fr-FR"/>
        </w:rPr>
        <w:t>[ 78</w:t>
      </w:r>
      <w:proofErr w:type="gramEnd"/>
      <w:r w:rsidRPr="001F05B2">
        <w:rPr>
          <w:rFonts w:ascii="Times New Roman" w:eastAsia="Times New Roman" w:hAnsi="Times New Roman" w:cs="Times New Roman"/>
          <w:color w:val="000000"/>
          <w:sz w:val="24"/>
          <w:szCs w:val="24"/>
          <w:lang w:eastAsia="fr-FR"/>
        </w:rPr>
        <w:t xml:space="preserve"> ]. On aurait ainsi supprimé l’ETP de l’hôpital, sans l’avoir construit en ville !</w:t>
      </w:r>
    </w:p>
    <w:p w14:paraId="0CBD2480" w14:textId="77777777"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br/>
        <w:t xml:space="preserve">• Mais le pire n’est jamais certain. Comme toujours, il convient d’opposer au pessimisme de la raison, l’optimisme de la volonté. Nous voilà, en effet, rendu à la croisée des chemins avec deux voies possibles pour l’ETP. Soit elle n’est qu’une simple prestation supplémentaire, soit elle est </w:t>
      </w:r>
    </w:p>
    <w:p w14:paraId="311A0B4E" w14:textId="77777777" w:rsidR="00072050" w:rsidRDefault="00072050" w:rsidP="00072050">
      <w:pPr>
        <w:spacing w:after="300" w:line="240" w:lineRule="auto"/>
        <w:jc w:val="both"/>
        <w:textAlignment w:val="baseline"/>
        <w:rPr>
          <w:rFonts w:ascii="Times New Roman" w:eastAsia="Times New Roman" w:hAnsi="Times New Roman" w:cs="Times New Roman"/>
          <w:color w:val="000000"/>
          <w:sz w:val="24"/>
          <w:szCs w:val="24"/>
          <w:lang w:eastAsia="fr-FR"/>
        </w:rPr>
      </w:pPr>
    </w:p>
    <w:p w14:paraId="06EAAB80" w14:textId="7A877728"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proofErr w:type="gramStart"/>
      <w:r w:rsidRPr="001F05B2">
        <w:rPr>
          <w:rFonts w:ascii="Times New Roman" w:eastAsia="Times New Roman" w:hAnsi="Times New Roman" w:cs="Times New Roman"/>
          <w:color w:val="000000"/>
          <w:sz w:val="24"/>
          <w:szCs w:val="24"/>
          <w:lang w:eastAsia="fr-FR"/>
        </w:rPr>
        <w:t>une</w:t>
      </w:r>
      <w:proofErr w:type="gramEnd"/>
      <w:r w:rsidRPr="001F05B2">
        <w:rPr>
          <w:rFonts w:ascii="Times New Roman" w:eastAsia="Times New Roman" w:hAnsi="Times New Roman" w:cs="Times New Roman"/>
          <w:color w:val="000000"/>
          <w:sz w:val="24"/>
          <w:szCs w:val="24"/>
          <w:lang w:eastAsia="fr-FR"/>
        </w:rPr>
        <w:t xml:space="preserve"> nouvelle médecine. Et plus exactement la 3e médecine, à côté de la médecine des maladies aiguës bénignes et des gestes techniques simples (la 1 re médecine) et de la médecine des maladies aiguës graves et des gestes de haute technicité (la 2 e médecine). D’un côté, une prise en charge fragmentée par une batterie de tarifs et un parcours de soins ressemblant à une chaîne de production coordonnée par un « cadre », assimilé à un « chef de production », payé par le financeur ; de l’autre, un travail d’équipe médicale et paramédicale. Un travail en équipe suppose une culture commune, un (ou une) référent(e) garant de la cohérence et de la continuité du suivi éducatif, l’absence de rapport hiérarchique, une synergie des activités grâce à des réunions de synthèse (ce qui suppose des personnels stables ayant un temps de travail synchronisé), la pratique de la codécision avec le patient, et l’habitude à s’ajuster au fil des mois et des années grâce à une pratique collective de l’autoévaluation. Bref, plus un orchestre de chambre où chacun joue sa partition mais connaît celle des autres pour une interprétation partagée, qu’une chaîne de production. L’orchestre peut se réduire à un quatuor ou un trio (le médecin généraliste, l’infirmière, et le pharmacien) selon les niveaux de prise en charge. Mais, dans tous les cas, la « médecine globale » suppose un « budget global</w:t>
      </w:r>
      <w:r w:rsidR="00072050" w:rsidRPr="001F05B2">
        <w:rPr>
          <w:rFonts w:ascii="Times New Roman" w:eastAsia="Times New Roman" w:hAnsi="Times New Roman" w:cs="Times New Roman"/>
          <w:color w:val="000000"/>
          <w:sz w:val="24"/>
          <w:szCs w:val="24"/>
          <w:lang w:eastAsia="fr-FR"/>
        </w:rPr>
        <w:t xml:space="preserve"> » …</w:t>
      </w:r>
      <w:r w:rsidRPr="001F05B2">
        <w:rPr>
          <w:rFonts w:ascii="Times New Roman" w:eastAsia="Times New Roman" w:hAnsi="Times New Roman" w:cs="Times New Roman"/>
          <w:color w:val="000000"/>
          <w:sz w:val="24"/>
          <w:szCs w:val="24"/>
          <w:lang w:eastAsia="fr-FR"/>
        </w:rPr>
        <w:t xml:space="preserve"> Comme quoi, les grandes révolutions se font toujours sur les valeurs du passé !</w:t>
      </w:r>
    </w:p>
    <w:p w14:paraId="1245EEA3" w14:textId="1FE09CC3" w:rsidR="00072050"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br/>
        <w:t>Déclaration d’intérêt</w:t>
      </w:r>
    </w:p>
    <w:p w14:paraId="47DF111B" w14:textId="111FF6A6" w:rsidR="001F05B2" w:rsidRPr="001F05B2"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br/>
        <w:t>L’auteur déclare n’avoir aucun conflit d’intérêt en lien avec cet article.</w:t>
      </w:r>
      <w:r w:rsidRPr="001F05B2">
        <w:rPr>
          <w:rFonts w:ascii="Times New Roman" w:eastAsia="Times New Roman" w:hAnsi="Times New Roman" w:cs="Times New Roman"/>
          <w:color w:val="000000"/>
          <w:sz w:val="24"/>
          <w:szCs w:val="24"/>
          <w:lang w:eastAsia="fr-FR"/>
        </w:rPr>
        <w:br/>
        <w:t>Merci de choisir une des options ci-dessous pour accéder à ce contenu</w:t>
      </w:r>
    </w:p>
    <w:p w14:paraId="53A002E9" w14:textId="77777777" w:rsidR="001F05B2" w:rsidRPr="001F05B2" w:rsidRDefault="001F05B2" w:rsidP="00072050">
      <w:pPr>
        <w:shd w:val="clear" w:color="auto" w:fill="F0F0F0"/>
        <w:spacing w:line="300" w:lineRule="atLeast"/>
        <w:jc w:val="both"/>
        <w:textAlignment w:val="baseline"/>
        <w:rPr>
          <w:rFonts w:ascii="Times New Roman" w:eastAsia="Times New Roman" w:hAnsi="Times New Roman" w:cs="Times New Roman"/>
          <w:b/>
          <w:bCs/>
          <w:color w:val="333333"/>
          <w:lang w:eastAsia="fr-FR"/>
        </w:rPr>
      </w:pPr>
      <w:r w:rsidRPr="001F05B2">
        <w:rPr>
          <w:rFonts w:ascii="Times New Roman" w:eastAsia="Times New Roman" w:hAnsi="Times New Roman" w:cs="Times New Roman"/>
          <w:b/>
          <w:bCs/>
          <w:color w:val="333333"/>
          <w:lang w:eastAsia="fr-FR"/>
        </w:rPr>
        <w:t>Références</w:t>
      </w:r>
    </w:p>
    <w:p w14:paraId="3C9C9723" w14:textId="77777777" w:rsidR="001F05B2" w:rsidRPr="001F05B2"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Auteur</w:t>
      </w:r>
    </w:p>
    <w:p w14:paraId="5E5EE22B" w14:textId="77777777" w:rsidR="001F05B2" w:rsidRPr="001F05B2" w:rsidRDefault="001F05B2" w:rsidP="00072050">
      <w:pPr>
        <w:spacing w:after="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b/>
          <w:bCs/>
          <w:color w:val="000000"/>
          <w:sz w:val="24"/>
          <w:szCs w:val="24"/>
          <w:bdr w:val="none" w:sz="0" w:space="0" w:color="auto" w:frame="1"/>
          <w:lang w:eastAsia="fr-FR"/>
        </w:rPr>
        <w:t>A. Grimaldi</w:t>
      </w:r>
      <w:r w:rsidRPr="001F05B2">
        <w:rPr>
          <w:rFonts w:ascii="Times New Roman" w:eastAsia="Times New Roman" w:hAnsi="Times New Roman" w:cs="Times New Roman"/>
          <w:color w:val="000000"/>
          <w:sz w:val="24"/>
          <w:szCs w:val="24"/>
          <w:lang w:eastAsia="fr-FR"/>
        </w:rPr>
        <w:t> Professeur émérite, CHU Pitié Salpêtrière (AP-HP), Université Paris 6.</w:t>
      </w:r>
    </w:p>
    <w:p w14:paraId="79177E42" w14:textId="77777777" w:rsidR="001F05B2" w:rsidRPr="001F05B2"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 2017 – Elsevier Masson SAS – Tous droits réservés.</w:t>
      </w:r>
    </w:p>
    <w:p w14:paraId="1553A6BC" w14:textId="77777777" w:rsidR="001F05B2" w:rsidRPr="001F05B2" w:rsidRDefault="001F05B2" w:rsidP="00072050">
      <w:pPr>
        <w:spacing w:after="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Vous venez de lire l’article </w:t>
      </w:r>
      <w:r w:rsidRPr="001F05B2">
        <w:rPr>
          <w:rFonts w:ascii="Times New Roman" w:eastAsia="Times New Roman" w:hAnsi="Times New Roman" w:cs="Times New Roman"/>
          <w:b/>
          <w:bCs/>
          <w:color w:val="000000"/>
          <w:sz w:val="24"/>
          <w:szCs w:val="24"/>
          <w:bdr w:val="none" w:sz="0" w:space="0" w:color="auto" w:frame="1"/>
          <w:lang w:eastAsia="fr-FR"/>
        </w:rPr>
        <w:t>Si l’histoire de l’éducation thérapeutique du patient m’était contée… </w:t>
      </w:r>
      <w:r w:rsidRPr="001F05B2">
        <w:rPr>
          <w:rFonts w:ascii="Times New Roman" w:eastAsia="Times New Roman" w:hAnsi="Times New Roman" w:cs="Times New Roman"/>
          <w:color w:val="000000"/>
          <w:sz w:val="24"/>
          <w:szCs w:val="24"/>
          <w:lang w:eastAsia="fr-FR"/>
        </w:rPr>
        <w:t>dans la revue </w:t>
      </w:r>
      <w:hyperlink r:id="rId9" w:history="1">
        <w:r w:rsidRPr="001F05B2">
          <w:rPr>
            <w:rFonts w:ascii="Times New Roman" w:eastAsia="Times New Roman" w:hAnsi="Times New Roman" w:cs="Times New Roman"/>
            <w:b/>
            <w:bCs/>
            <w:color w:val="E97017"/>
            <w:sz w:val="24"/>
            <w:szCs w:val="24"/>
            <w:bdr w:val="none" w:sz="0" w:space="0" w:color="auto" w:frame="1"/>
            <w:lang w:eastAsia="fr-FR"/>
          </w:rPr>
          <w:t>Médecine des maladies Métaboliques</w:t>
        </w:r>
      </w:hyperlink>
    </w:p>
    <w:p w14:paraId="45303E68" w14:textId="77777777" w:rsidR="001F05B2" w:rsidRPr="001F05B2" w:rsidRDefault="00000000" w:rsidP="00072050">
      <w:pPr>
        <w:shd w:val="clear" w:color="auto" w:fill="FFA500"/>
        <w:spacing w:after="0" w:line="240" w:lineRule="auto"/>
        <w:jc w:val="both"/>
        <w:textAlignment w:val="center"/>
        <w:rPr>
          <w:rFonts w:ascii="Helvetica" w:eastAsia="Times New Roman" w:hAnsi="Helvetica" w:cs="Helvetica"/>
          <w:color w:val="FFFFFF"/>
          <w:sz w:val="24"/>
          <w:szCs w:val="24"/>
          <w:lang w:eastAsia="fr-FR"/>
        </w:rPr>
      </w:pPr>
      <w:hyperlink r:id="rId10" w:tgtFrame="_blank" w:tooltip="MMM" w:history="1">
        <w:r w:rsidR="001F05B2" w:rsidRPr="001F05B2">
          <w:rPr>
            <w:rFonts w:ascii="Helvetica" w:eastAsia="Times New Roman" w:hAnsi="Helvetica" w:cs="Helvetica"/>
            <w:color w:val="FFFFFF"/>
            <w:sz w:val="24"/>
            <w:szCs w:val="24"/>
            <w:lang w:eastAsia="fr-FR"/>
          </w:rPr>
          <w:t>Acheter la revue du post</w:t>
        </w:r>
        <w:r w:rsidR="001F05B2" w:rsidRPr="001F05B2">
          <w:rPr>
            <w:rFonts w:ascii="Helvetica" w:eastAsia="Times New Roman" w:hAnsi="Helvetica" w:cs="Helvetica"/>
            <w:color w:val="FFFFFF"/>
            <w:sz w:val="24"/>
            <w:szCs w:val="24"/>
            <w:lang w:eastAsia="fr-FR"/>
          </w:rPr>
          <w:br/>
        </w:r>
        <w:r w:rsidR="001F05B2" w:rsidRPr="001F05B2">
          <w:rPr>
            <w:rFonts w:ascii="Helvetica" w:eastAsia="Times New Roman" w:hAnsi="Helvetica" w:cs="Helvetica"/>
            <w:color w:val="FFFFFF"/>
            <w:sz w:val="24"/>
            <w:szCs w:val="24"/>
            <w:bdr w:val="none" w:sz="0" w:space="0" w:color="auto" w:frame="1"/>
            <w:lang w:eastAsia="fr-FR"/>
          </w:rPr>
          <w:t>sur le site elsevier-masson.fr</w:t>
        </w:r>
      </w:hyperlink>
    </w:p>
    <w:p w14:paraId="66D6F9E4" w14:textId="77777777" w:rsidR="001F05B2" w:rsidRPr="001F05B2" w:rsidRDefault="001F05B2" w:rsidP="00072050">
      <w:pPr>
        <w:shd w:val="clear" w:color="auto" w:fill="F0F0F0"/>
        <w:spacing w:line="300" w:lineRule="atLeast"/>
        <w:jc w:val="both"/>
        <w:textAlignment w:val="baseline"/>
        <w:rPr>
          <w:rFonts w:ascii="Times New Roman" w:eastAsia="Times New Roman" w:hAnsi="Times New Roman" w:cs="Times New Roman"/>
          <w:b/>
          <w:bCs/>
          <w:color w:val="333333"/>
          <w:lang w:eastAsia="fr-FR"/>
        </w:rPr>
      </w:pPr>
      <w:r w:rsidRPr="001F05B2">
        <w:rPr>
          <w:rFonts w:ascii="Times New Roman" w:eastAsia="Times New Roman" w:hAnsi="Times New Roman" w:cs="Times New Roman"/>
          <w:b/>
          <w:bCs/>
          <w:color w:val="333333"/>
          <w:lang w:eastAsia="fr-FR"/>
        </w:rPr>
        <w:t>Auteur</w:t>
      </w:r>
    </w:p>
    <w:p w14:paraId="603D7F0F" w14:textId="77777777" w:rsidR="001F05B2" w:rsidRPr="001F05B2" w:rsidRDefault="001F05B2" w:rsidP="00072050">
      <w:pPr>
        <w:spacing w:after="300" w:line="240" w:lineRule="auto"/>
        <w:jc w:val="both"/>
        <w:textAlignment w:val="baseline"/>
        <w:rPr>
          <w:rFonts w:ascii="Times New Roman" w:eastAsia="Times New Roman" w:hAnsi="Times New Roman" w:cs="Times New Roman"/>
          <w:color w:val="000000"/>
          <w:sz w:val="24"/>
          <w:szCs w:val="24"/>
          <w:lang w:eastAsia="fr-FR"/>
        </w:rPr>
      </w:pPr>
      <w:r w:rsidRPr="001F05B2">
        <w:rPr>
          <w:rFonts w:ascii="Times New Roman" w:eastAsia="Times New Roman" w:hAnsi="Times New Roman" w:cs="Times New Roman"/>
          <w:color w:val="000000"/>
          <w:sz w:val="24"/>
          <w:szCs w:val="24"/>
          <w:lang w:eastAsia="fr-FR"/>
        </w:rPr>
        <w:t> </w:t>
      </w:r>
    </w:p>
    <w:p w14:paraId="32405D7C" w14:textId="77777777" w:rsidR="001F05B2" w:rsidRDefault="001F05B2"/>
    <w:sectPr w:rsidR="001F05B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D0B8" w14:textId="77777777" w:rsidR="000B6100" w:rsidRDefault="000B6100" w:rsidP="00072050">
      <w:pPr>
        <w:spacing w:after="0" w:line="240" w:lineRule="auto"/>
      </w:pPr>
      <w:r>
        <w:separator/>
      </w:r>
    </w:p>
  </w:endnote>
  <w:endnote w:type="continuationSeparator" w:id="0">
    <w:p w14:paraId="159B93FA" w14:textId="77777777" w:rsidR="000B6100" w:rsidRDefault="000B6100" w:rsidP="00072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AE4B6" w14:textId="77777777" w:rsidR="000B6100" w:rsidRDefault="000B6100" w:rsidP="00072050">
      <w:pPr>
        <w:spacing w:after="0" w:line="240" w:lineRule="auto"/>
      </w:pPr>
      <w:r>
        <w:separator/>
      </w:r>
    </w:p>
  </w:footnote>
  <w:footnote w:type="continuationSeparator" w:id="0">
    <w:p w14:paraId="7997B297" w14:textId="77777777" w:rsidR="000B6100" w:rsidRDefault="000B6100" w:rsidP="00072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FCAE" w14:textId="3117D691" w:rsidR="00072050" w:rsidRDefault="00072050">
    <w:pPr>
      <w:pStyle w:val="En-tte"/>
    </w:pPr>
    <w:r>
      <w:rPr>
        <w:noProof/>
      </w:rPr>
      <w:drawing>
        <wp:anchor distT="0" distB="0" distL="114300" distR="114300" simplePos="0" relativeHeight="251659264" behindDoc="0" locked="0" layoutInCell="1" allowOverlap="1" wp14:anchorId="7A8F422D" wp14:editId="3BDB6F0E">
          <wp:simplePos x="0" y="0"/>
          <wp:positionH relativeFrom="column">
            <wp:posOffset>-914400</wp:posOffset>
          </wp:positionH>
          <wp:positionV relativeFrom="paragraph">
            <wp:posOffset>-452818</wp:posOffset>
          </wp:positionV>
          <wp:extent cx="3810000" cy="1295400"/>
          <wp:effectExtent l="0" t="0" r="0" b="0"/>
          <wp:wrapTight wrapText="bothSides">
            <wp:wrapPolygon edited="0">
              <wp:start x="0" y="0"/>
              <wp:lineTo x="0" y="21388"/>
              <wp:lineTo x="1080" y="21388"/>
              <wp:lineTo x="9720" y="20541"/>
              <wp:lineTo x="17496" y="20329"/>
              <wp:lineTo x="20448" y="19482"/>
              <wp:lineTo x="20376" y="16941"/>
              <wp:lineTo x="20664" y="13553"/>
              <wp:lineTo x="20880" y="10165"/>
              <wp:lineTo x="21168" y="6776"/>
              <wp:lineTo x="21528" y="424"/>
              <wp:lineTo x="21528" y="0"/>
              <wp:lineTo x="0" y="0"/>
            </wp:wrapPolygon>
          </wp:wrapTight>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810000" cy="1295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5432"/>
    <w:multiLevelType w:val="multilevel"/>
    <w:tmpl w:val="6FF4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0D466A"/>
    <w:multiLevelType w:val="multilevel"/>
    <w:tmpl w:val="1F1AA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3079429">
    <w:abstractNumId w:val="0"/>
  </w:num>
  <w:num w:numId="2" w16cid:durableId="2038121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B2"/>
    <w:rsid w:val="00072050"/>
    <w:rsid w:val="000B6100"/>
    <w:rsid w:val="001F0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02DF"/>
  <w15:chartTrackingRefBased/>
  <w15:docId w15:val="{84767513-0168-4606-91E4-97DEFC8A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2050"/>
    <w:pPr>
      <w:tabs>
        <w:tab w:val="center" w:pos="4536"/>
        <w:tab w:val="right" w:pos="9072"/>
      </w:tabs>
      <w:spacing w:after="0" w:line="240" w:lineRule="auto"/>
    </w:pPr>
  </w:style>
  <w:style w:type="character" w:customStyle="1" w:styleId="En-tteCar">
    <w:name w:val="En-tête Car"/>
    <w:basedOn w:val="Policepardfaut"/>
    <w:link w:val="En-tte"/>
    <w:uiPriority w:val="99"/>
    <w:rsid w:val="00072050"/>
  </w:style>
  <w:style w:type="paragraph" w:styleId="Pieddepage">
    <w:name w:val="footer"/>
    <w:basedOn w:val="Normal"/>
    <w:link w:val="PieddepageCar"/>
    <w:uiPriority w:val="99"/>
    <w:unhideWhenUsed/>
    <w:rsid w:val="000720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415076">
      <w:bodyDiv w:val="1"/>
      <w:marLeft w:val="0"/>
      <w:marRight w:val="0"/>
      <w:marTop w:val="0"/>
      <w:marBottom w:val="0"/>
      <w:divBdr>
        <w:top w:val="none" w:sz="0" w:space="0" w:color="auto"/>
        <w:left w:val="none" w:sz="0" w:space="0" w:color="auto"/>
        <w:bottom w:val="none" w:sz="0" w:space="0" w:color="auto"/>
        <w:right w:val="none" w:sz="0" w:space="0" w:color="auto"/>
      </w:divBdr>
      <w:divsChild>
        <w:div w:id="1941597256">
          <w:marLeft w:val="0"/>
          <w:marRight w:val="0"/>
          <w:marTop w:val="0"/>
          <w:marBottom w:val="360"/>
          <w:divBdr>
            <w:top w:val="single" w:sz="6" w:space="0" w:color="9AB4CB"/>
            <w:left w:val="single" w:sz="6" w:space="0" w:color="9AB4CB"/>
            <w:bottom w:val="single" w:sz="6" w:space="0" w:color="9AB4CB"/>
            <w:right w:val="single" w:sz="6" w:space="0" w:color="9AB4CB"/>
          </w:divBdr>
          <w:divsChild>
            <w:div w:id="246158003">
              <w:marLeft w:val="0"/>
              <w:marRight w:val="0"/>
              <w:marTop w:val="0"/>
              <w:marBottom w:val="0"/>
              <w:divBdr>
                <w:top w:val="single" w:sz="6" w:space="12" w:color="EEF4F9"/>
                <w:left w:val="single" w:sz="6" w:space="12" w:color="EEF4F9"/>
                <w:bottom w:val="single" w:sz="6" w:space="12" w:color="EEF4F9"/>
                <w:right w:val="single" w:sz="6" w:space="12" w:color="EEF4F9"/>
              </w:divBdr>
            </w:div>
          </w:divsChild>
        </w:div>
        <w:div w:id="2137798943">
          <w:marLeft w:val="0"/>
          <w:marRight w:val="0"/>
          <w:marTop w:val="0"/>
          <w:marBottom w:val="360"/>
          <w:divBdr>
            <w:top w:val="single" w:sz="6" w:space="0" w:color="CCCCCC"/>
            <w:left w:val="single" w:sz="6" w:space="0" w:color="CCCCCC"/>
            <w:bottom w:val="single" w:sz="6" w:space="0" w:color="CCCCCC"/>
            <w:right w:val="single" w:sz="6" w:space="0" w:color="CCCCCC"/>
          </w:divBdr>
          <w:divsChild>
            <w:div w:id="848178623">
              <w:marLeft w:val="0"/>
              <w:marRight w:val="0"/>
              <w:marTop w:val="0"/>
              <w:marBottom w:val="0"/>
              <w:divBdr>
                <w:top w:val="none" w:sz="0" w:space="0" w:color="auto"/>
                <w:left w:val="none" w:sz="0" w:space="0" w:color="auto"/>
                <w:bottom w:val="none" w:sz="0" w:space="0" w:color="auto"/>
                <w:right w:val="none" w:sz="0" w:space="0" w:color="auto"/>
              </w:divBdr>
            </w:div>
          </w:divsChild>
        </w:div>
        <w:div w:id="1856112019">
          <w:marLeft w:val="0"/>
          <w:marRight w:val="0"/>
          <w:marTop w:val="0"/>
          <w:marBottom w:val="0"/>
          <w:divBdr>
            <w:top w:val="none" w:sz="0" w:space="0" w:color="auto"/>
            <w:left w:val="none" w:sz="0" w:space="0" w:color="auto"/>
            <w:bottom w:val="none" w:sz="0" w:space="0" w:color="auto"/>
            <w:right w:val="none" w:sz="0" w:space="0" w:color="auto"/>
          </w:divBdr>
        </w:div>
        <w:div w:id="1101756693">
          <w:marLeft w:val="0"/>
          <w:marRight w:val="0"/>
          <w:marTop w:val="0"/>
          <w:marBottom w:val="0"/>
          <w:divBdr>
            <w:top w:val="none" w:sz="0" w:space="0" w:color="auto"/>
            <w:left w:val="none" w:sz="0" w:space="0" w:color="auto"/>
            <w:bottom w:val="none" w:sz="0" w:space="0" w:color="auto"/>
            <w:right w:val="none" w:sz="0" w:space="0" w:color="auto"/>
          </w:divBdr>
          <w:divsChild>
            <w:div w:id="1460762878">
              <w:marLeft w:val="0"/>
              <w:marRight w:val="0"/>
              <w:marTop w:val="0"/>
              <w:marBottom w:val="0"/>
              <w:divBdr>
                <w:top w:val="none" w:sz="0" w:space="0" w:color="auto"/>
                <w:left w:val="none" w:sz="0" w:space="0" w:color="auto"/>
                <w:bottom w:val="none" w:sz="0" w:space="0" w:color="auto"/>
                <w:right w:val="none" w:sz="0" w:space="0" w:color="auto"/>
              </w:divBdr>
            </w:div>
          </w:divsChild>
        </w:div>
        <w:div w:id="1200045997">
          <w:marLeft w:val="0"/>
          <w:marRight w:val="0"/>
          <w:marTop w:val="0"/>
          <w:marBottom w:val="0"/>
          <w:divBdr>
            <w:top w:val="none" w:sz="0" w:space="0" w:color="auto"/>
            <w:left w:val="none" w:sz="0" w:space="0" w:color="auto"/>
            <w:bottom w:val="none" w:sz="0" w:space="0" w:color="auto"/>
            <w:right w:val="none" w:sz="0" w:space="0" w:color="auto"/>
          </w:divBdr>
          <w:divsChild>
            <w:div w:id="205141581">
              <w:marLeft w:val="0"/>
              <w:marRight w:val="0"/>
              <w:marTop w:val="0"/>
              <w:marBottom w:val="360"/>
              <w:divBdr>
                <w:top w:val="single" w:sz="6" w:space="0" w:color="CCCCCC"/>
                <w:left w:val="single" w:sz="6" w:space="0" w:color="CCCCCC"/>
                <w:bottom w:val="single" w:sz="6" w:space="0" w:color="CCCCCC"/>
                <w:right w:val="single" w:sz="6" w:space="0" w:color="CCCCCC"/>
              </w:divBdr>
              <w:divsChild>
                <w:div w:id="13539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elsevier-masson.fr/category/pe/pe-medec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og-elsevier-masson.fr/author/anne-clai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m-consulte.com/revue/MMM/presentation/medecine-des-maladies-metaboliques" TargetMode="External"/><Relationship Id="rId4" Type="http://schemas.openxmlformats.org/officeDocument/2006/relationships/webSettings" Target="webSettings.xml"/><Relationship Id="rId9" Type="http://schemas.openxmlformats.org/officeDocument/2006/relationships/hyperlink" Target="http://www.em-consulte.com/revue/MMM/presentation/medecine-des-maladies-metaboliq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9208</Words>
  <Characters>50650</Characters>
  <Application>Microsoft Office Word</Application>
  <DocSecurity>0</DocSecurity>
  <Lines>422</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Dantras-Bioy</dc:creator>
  <cp:keywords/>
  <dc:description/>
  <cp:lastModifiedBy>Solène Gaboriaud</cp:lastModifiedBy>
  <cp:revision>2</cp:revision>
  <dcterms:created xsi:type="dcterms:W3CDTF">2018-10-11T07:46:00Z</dcterms:created>
  <dcterms:modified xsi:type="dcterms:W3CDTF">2024-02-05T14:26:00Z</dcterms:modified>
</cp:coreProperties>
</file>